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1DFE1257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08668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08668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08668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6EE951D2" w14:textId="1C2CFCD4" w:rsidR="00B271AC" w:rsidRDefault="00B271AC" w:rsidP="001D2685">
      <w:pPr>
        <w:pStyle w:val="Absatzregulr"/>
      </w:pPr>
    </w:p>
    <w:p w14:paraId="04EC18BA" w14:textId="77777777" w:rsidR="00B271AC" w:rsidRDefault="00B271AC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5D865264" w:rsidR="002C65CF" w:rsidRDefault="00D95A19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D95A19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08668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95A19">
        <w:rPr>
          <w:rFonts w:ascii="Arial Rounded MT Bold" w:hAnsi="Arial Rounded MT Bold"/>
          <w:b w:val="0"/>
          <w:bCs/>
          <w:sz w:val="34"/>
          <w:szCs w:val="34"/>
        </w:rPr>
        <w:t>ewige</w:t>
      </w:r>
      <w:r w:rsidR="0008668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95A19">
        <w:rPr>
          <w:rFonts w:ascii="Arial Rounded MT Bold" w:hAnsi="Arial Rounded MT Bold"/>
          <w:b w:val="0"/>
          <w:bCs/>
          <w:sz w:val="34"/>
          <w:szCs w:val="34"/>
        </w:rPr>
        <w:t>Leben</w:t>
      </w:r>
      <w:r w:rsidR="0008668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95A19">
        <w:rPr>
          <w:rFonts w:ascii="Arial Rounded MT Bold" w:hAnsi="Arial Rounded MT Bold"/>
          <w:b w:val="0"/>
          <w:bCs/>
          <w:sz w:val="34"/>
          <w:szCs w:val="34"/>
        </w:rPr>
        <w:t>wurde</w:t>
      </w:r>
      <w:r w:rsidR="0008668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D95A19">
        <w:rPr>
          <w:rFonts w:ascii="Arial Rounded MT Bold" w:hAnsi="Arial Rounded MT Bold"/>
          <w:b w:val="0"/>
          <w:bCs/>
          <w:sz w:val="34"/>
          <w:szCs w:val="34"/>
        </w:rPr>
        <w:t>fassbar</w:t>
      </w:r>
      <w:r w:rsidR="0008668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D95A19">
        <w:rPr>
          <w:rFonts w:cs="Arial"/>
          <w:b w:val="0"/>
          <w:bCs/>
          <w:sz w:val="24"/>
          <w:szCs w:val="24"/>
        </w:rPr>
        <w:t>1.</w:t>
      </w:r>
      <w:r w:rsidR="0008668C">
        <w:rPr>
          <w:rFonts w:cs="Arial"/>
          <w:b w:val="0"/>
          <w:bCs/>
          <w:sz w:val="24"/>
          <w:szCs w:val="24"/>
        </w:rPr>
        <w:t xml:space="preserve"> </w:t>
      </w:r>
      <w:r w:rsidRPr="00D95A19">
        <w:rPr>
          <w:rFonts w:cs="Arial"/>
          <w:b w:val="0"/>
          <w:bCs/>
          <w:sz w:val="24"/>
          <w:szCs w:val="24"/>
        </w:rPr>
        <w:t>Joh</w:t>
      </w:r>
      <w:r>
        <w:rPr>
          <w:rFonts w:cs="Arial"/>
          <w:b w:val="0"/>
          <w:bCs/>
          <w:sz w:val="24"/>
          <w:szCs w:val="24"/>
        </w:rPr>
        <w:t>annes-Brief</w:t>
      </w:r>
      <w:r w:rsidR="0008668C">
        <w:rPr>
          <w:rFonts w:cs="Arial"/>
          <w:b w:val="0"/>
          <w:bCs/>
          <w:sz w:val="24"/>
          <w:szCs w:val="24"/>
        </w:rPr>
        <w:t xml:space="preserve"> </w:t>
      </w:r>
      <w:r w:rsidRPr="00D95A19">
        <w:rPr>
          <w:rFonts w:cs="Arial"/>
          <w:b w:val="0"/>
          <w:bCs/>
          <w:sz w:val="24"/>
          <w:szCs w:val="24"/>
        </w:rPr>
        <w:t>1</w:t>
      </w:r>
      <w:r w:rsidR="0008668C">
        <w:rPr>
          <w:rFonts w:cs="Arial"/>
          <w:b w:val="0"/>
          <w:bCs/>
          <w:sz w:val="24"/>
          <w:szCs w:val="24"/>
        </w:rPr>
        <w:t>, 1</w:t>
      </w:r>
      <w:r w:rsidRPr="00D95A19">
        <w:rPr>
          <w:rFonts w:cs="Arial"/>
          <w:b w:val="0"/>
          <w:bCs/>
          <w:sz w:val="24"/>
          <w:szCs w:val="24"/>
        </w:rPr>
        <w:t>-2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3738B111" w14:textId="14EDA049" w:rsidR="00B271AC" w:rsidRDefault="00B271AC" w:rsidP="001D2685">
      <w:pPr>
        <w:pStyle w:val="Absatzregulr"/>
      </w:pPr>
    </w:p>
    <w:p w14:paraId="7B2AD274" w14:textId="77777777" w:rsidR="00B271AC" w:rsidRDefault="00B271AC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759851CA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08668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7DFEE6A" w14:textId="1C3AB5E8" w:rsidR="009676B0" w:rsidRPr="009676B0" w:rsidRDefault="009676B0" w:rsidP="001D6E80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9676B0">
        <w:rPr>
          <w:rFonts w:ascii="Times New Roman" w:hAnsi="Times New Roman"/>
          <w:sz w:val="20"/>
        </w:rPr>
        <w:t>Heute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beginne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Auslegung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Johannes-Briefs.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interessante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spannende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Texte,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genauem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Hinschauen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Eindruck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erwecken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könnten,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widersprüchlich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Beispiel.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Kapitel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„Wenn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behaupten,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hätten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gesündigt,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machen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zum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Lügner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seinem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keinen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Raum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unserem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Doch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dritten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Kapitel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scheint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würde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Gegenteil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behaupten.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geboren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sündigt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bleibt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erneuernde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Kraft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Gottes.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Vater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geworden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–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könnte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noch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sündigen!“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spannend,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übrigens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Texte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Bibel,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genauer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betrachten.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meistens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gute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einleuchtende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Erklärung,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für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Aussagen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gute,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einleuchtende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verständliche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Erklärung.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Verlauf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Serie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aufzeigen,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Widerspruch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vorliegt.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Johannes-Brief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verschiedene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Serien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unterteilen.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Serie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lautet: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Grundlegendes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christlichen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besteht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sechs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Folgen: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fassbar;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 xml:space="preserve">. Johannes </w:t>
      </w:r>
      <w:r w:rsidRPr="009676B0">
        <w:rPr>
          <w:rFonts w:ascii="Times New Roman" w:hAnsi="Times New Roman"/>
          <w:sz w:val="20"/>
        </w:rPr>
        <w:t>1-2.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kommt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mir;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 xml:space="preserve">. Johannes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>, 3</w:t>
      </w:r>
      <w:r w:rsidRPr="009676B0">
        <w:rPr>
          <w:rFonts w:ascii="Times New Roman" w:hAnsi="Times New Roman"/>
          <w:sz w:val="20"/>
        </w:rPr>
        <w:t>-4.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Online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guten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Gott;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 xml:space="preserve">. Johannes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>, 5</w:t>
      </w:r>
      <w:r w:rsidRPr="009676B0">
        <w:rPr>
          <w:rFonts w:ascii="Times New Roman" w:hAnsi="Times New Roman"/>
          <w:sz w:val="20"/>
        </w:rPr>
        <w:t>-6.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echter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tiefer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Gemeinschaft;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 xml:space="preserve">. Johannes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>, 7</w:t>
      </w:r>
      <w:r w:rsidRPr="009676B0">
        <w:rPr>
          <w:rFonts w:ascii="Times New Roman" w:hAnsi="Times New Roman"/>
          <w:sz w:val="20"/>
        </w:rPr>
        <w:t>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gesunden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Selbsteinschätzung;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 xml:space="preserve">. Johannes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>, 8</w:t>
      </w:r>
      <w:r w:rsidRPr="009676B0">
        <w:rPr>
          <w:rFonts w:ascii="Times New Roman" w:hAnsi="Times New Roman"/>
          <w:sz w:val="20"/>
        </w:rPr>
        <w:t>-10.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nach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Fiasko;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1</w:t>
      </w:r>
      <w:r w:rsidR="0008668C">
        <w:rPr>
          <w:rFonts w:ascii="Times New Roman" w:hAnsi="Times New Roman"/>
          <w:sz w:val="20"/>
        </w:rPr>
        <w:t xml:space="preserve">. Johannes </w:t>
      </w:r>
      <w:r w:rsidRPr="009676B0">
        <w:rPr>
          <w:rFonts w:ascii="Times New Roman" w:hAnsi="Times New Roman"/>
          <w:sz w:val="20"/>
        </w:rPr>
        <w:t>2</w:t>
      </w:r>
      <w:r w:rsidR="0008668C">
        <w:rPr>
          <w:rFonts w:ascii="Times New Roman" w:hAnsi="Times New Roman"/>
          <w:sz w:val="20"/>
        </w:rPr>
        <w:t>, 1</w:t>
      </w:r>
      <w:r w:rsidRPr="009676B0">
        <w:rPr>
          <w:rFonts w:ascii="Times New Roman" w:hAnsi="Times New Roman"/>
          <w:sz w:val="20"/>
        </w:rPr>
        <w:t>-2.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Johannes-Brief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lastRenderedPageBreak/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Neuen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Testament,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apologetisches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Apologetik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Verteidigung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Weltanschauung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christliche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Apologetik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verteidigt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Wahrheiten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christlichen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Apologetik,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Bibel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begegnet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Charakter.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Überzeugungen,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bekämpft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bleiben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Hintergrund.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erfahren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jeweiligen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Irrlehren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relativ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wenig.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Grund,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weshalb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apologetischen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Charakter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sofort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erkennen.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Überzeugungen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besonders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hervorhebt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betont,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falschen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angegriffen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verändert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jemandem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erklären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würde,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Falschgeld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erkennen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kann.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beschreibt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verschiedenen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Varianten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Falschgeldes,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sondern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erklärt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ganz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genau,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richtige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Geld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erkennen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kann.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typisches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Beispiel,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für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Text,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heute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anschauen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Bedeutung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„An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Folgendem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könnt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erkennen,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ob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jemand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zu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Recht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auf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beruft: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zu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Jesus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Christus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zu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bekennt,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Mensch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Fleisch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Blut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geworden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kommt.“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denken.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erklärt,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achten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muss,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erkennen,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echten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tun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jemand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christlich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spricht,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kennt.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hauptsächliche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Vorgehensweise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Apologetik,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Bibel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begegnet.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Jedenfalls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für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sehr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genau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wissen,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alle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christlichen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Strömungen,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Sekten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Religionen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genau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kennen.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müssen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unbedingt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wissen,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falsch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müssen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wissen,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Überzeugungen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festhalten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sollten.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wissen,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falschen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erkennen,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mögen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raffiniert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täuschend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nahe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Wahrheit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liegen.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Beginnen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vier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Briefes.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Heute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beschäftigen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nächsten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Sonntag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drei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vier.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</w:p>
    <w:p w14:paraId="4C24384C" w14:textId="185A47A5" w:rsidR="009676B0" w:rsidRPr="009676B0" w:rsidRDefault="009676B0" w:rsidP="00406839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94790539"/>
      <w:r w:rsidRPr="009676B0">
        <w:rPr>
          <w:rFonts w:ascii="Times New Roman" w:hAnsi="Times New Roman"/>
          <w:i/>
          <w:sz w:val="20"/>
        </w:rPr>
        <w:t>Was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von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allem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Anfang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an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war,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gehört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haben,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eigenen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Augen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gesehen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haben,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angeschaut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haben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betastet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haben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unseren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Händen,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nämlich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Wort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des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Lebens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–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davon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reden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wir.</w:t>
      </w:r>
      <w:r w:rsidR="0008668C">
        <w:rPr>
          <w:rFonts w:ascii="Times New Roman" w:hAnsi="Times New Roman"/>
          <w:i/>
          <w:sz w:val="20"/>
        </w:rPr>
        <w:t xml:space="preserve"> </w:t>
      </w:r>
      <w:bookmarkEnd w:id="3"/>
      <w:r w:rsidRPr="009676B0">
        <w:rPr>
          <w:rFonts w:ascii="Times New Roman" w:hAnsi="Times New Roman"/>
          <w:i/>
          <w:sz w:val="20"/>
        </w:rPr>
        <w:t>Denn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Leben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ist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offenbar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geworden,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haben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es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gesehen;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sind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Zeugen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dafür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verkünden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euch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unvergängliche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Leben,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beim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Vater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war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sich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offenbart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hat.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so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gesehen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gehört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haben,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verkünden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euch,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ihr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in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Gemeinschaft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verbunden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seid.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die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Gemeinschaft,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die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miteinander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verbindet,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ist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zugleich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Gemeinschaft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dem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Vater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Jesus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Christus,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seinem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Sohn.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erfüllt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uns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grosser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Freude.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Und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schreiben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euch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diesen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Brief,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damit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unsere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Freude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vollkommen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wird.</w:t>
      </w:r>
      <w:r w:rsidR="0008668C">
        <w:rPr>
          <w:rFonts w:ascii="Times New Roman" w:hAnsi="Times New Roman"/>
          <w:i/>
          <w:sz w:val="20"/>
        </w:rPr>
        <w:t xml:space="preserve"> </w:t>
      </w:r>
      <w:r w:rsidRPr="009676B0">
        <w:rPr>
          <w:rFonts w:ascii="Times New Roman" w:hAnsi="Times New Roman"/>
          <w:i/>
          <w:sz w:val="20"/>
        </w:rPr>
        <w:t>1</w:t>
      </w:r>
      <w:r w:rsidR="0008668C">
        <w:rPr>
          <w:rFonts w:ascii="Times New Roman" w:hAnsi="Times New Roman"/>
          <w:i/>
          <w:sz w:val="20"/>
        </w:rPr>
        <w:t xml:space="preserve">. Johannes </w:t>
      </w:r>
      <w:r w:rsidRPr="009676B0">
        <w:rPr>
          <w:rFonts w:ascii="Times New Roman" w:hAnsi="Times New Roman"/>
          <w:i/>
          <w:sz w:val="20"/>
        </w:rPr>
        <w:t>1</w:t>
      </w:r>
      <w:r w:rsidR="0008668C">
        <w:rPr>
          <w:rFonts w:ascii="Times New Roman" w:hAnsi="Times New Roman"/>
          <w:i/>
          <w:sz w:val="20"/>
        </w:rPr>
        <w:t>, 1</w:t>
      </w:r>
      <w:r w:rsidRPr="00406839">
        <w:rPr>
          <w:rFonts w:ascii="Times New Roman" w:hAnsi="Times New Roman"/>
          <w:i/>
          <w:sz w:val="20"/>
        </w:rPr>
        <w:t>-</w:t>
      </w:r>
      <w:r w:rsidRPr="009676B0">
        <w:rPr>
          <w:rFonts w:ascii="Times New Roman" w:hAnsi="Times New Roman"/>
          <w:i/>
          <w:sz w:val="20"/>
        </w:rPr>
        <w:t>4.</w:t>
      </w:r>
      <w:r w:rsidR="0008668C">
        <w:rPr>
          <w:rFonts w:ascii="Times New Roman" w:hAnsi="Times New Roman"/>
          <w:i/>
          <w:sz w:val="20"/>
        </w:rPr>
        <w:t xml:space="preserve"> </w:t>
      </w:r>
    </w:p>
    <w:p w14:paraId="2490918E" w14:textId="37F369B5" w:rsidR="009676B0" w:rsidRPr="009676B0" w:rsidRDefault="009676B0" w:rsidP="007D230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94876752"/>
      <w:r w:rsidRPr="009676B0">
        <w:rPr>
          <w:rFonts w:ascii="Times New Roman" w:hAnsi="Times New Roman"/>
          <w:b w:val="0"/>
          <w:sz w:val="24"/>
          <w:szCs w:val="24"/>
        </w:rPr>
        <w:t>Wir</w:t>
      </w:r>
      <w:r w:rsidR="0008668C">
        <w:rPr>
          <w:rFonts w:ascii="Times New Roman" w:hAnsi="Times New Roman"/>
          <w:b w:val="0"/>
          <w:sz w:val="24"/>
          <w:szCs w:val="24"/>
        </w:rPr>
        <w:t xml:space="preserve"> </w:t>
      </w:r>
      <w:r w:rsidRPr="009676B0">
        <w:rPr>
          <w:rFonts w:ascii="Times New Roman" w:hAnsi="Times New Roman"/>
          <w:b w:val="0"/>
          <w:sz w:val="24"/>
          <w:szCs w:val="24"/>
        </w:rPr>
        <w:t>konnten</w:t>
      </w:r>
      <w:r w:rsidR="0008668C">
        <w:rPr>
          <w:rFonts w:ascii="Times New Roman" w:hAnsi="Times New Roman"/>
          <w:b w:val="0"/>
          <w:sz w:val="24"/>
          <w:szCs w:val="24"/>
        </w:rPr>
        <w:t xml:space="preserve"> </w:t>
      </w:r>
      <w:r w:rsidRPr="009676B0">
        <w:rPr>
          <w:rFonts w:ascii="Times New Roman" w:hAnsi="Times New Roman"/>
          <w:b w:val="0"/>
          <w:sz w:val="24"/>
          <w:szCs w:val="24"/>
        </w:rPr>
        <w:t>es</w:t>
      </w:r>
      <w:r w:rsidR="0008668C">
        <w:rPr>
          <w:rFonts w:ascii="Times New Roman" w:hAnsi="Times New Roman"/>
          <w:b w:val="0"/>
          <w:sz w:val="24"/>
          <w:szCs w:val="24"/>
        </w:rPr>
        <w:t xml:space="preserve"> </w:t>
      </w:r>
      <w:r w:rsidRPr="009676B0">
        <w:rPr>
          <w:rFonts w:ascii="Times New Roman" w:hAnsi="Times New Roman"/>
          <w:b w:val="0"/>
          <w:sz w:val="24"/>
          <w:szCs w:val="24"/>
        </w:rPr>
        <w:t>berühren!</w:t>
      </w:r>
      <w:bookmarkEnd w:id="4"/>
    </w:p>
    <w:p w14:paraId="06BE6C9B" w14:textId="68C1452B" w:rsidR="009676B0" w:rsidRPr="009676B0" w:rsidRDefault="009676B0" w:rsidP="001D6E80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stellt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persönlich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begrüsst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Empfänger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Hebräer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eher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Charakter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Lehrschrift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Unterweisung,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Ende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fehlen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typischen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persönlichen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Grüsse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Briefes.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Punkt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verrät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gleich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Beginn.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versteht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Teil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Gemeinschaft.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  <w:u w:val="single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gehört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  <w:u w:val="single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eigenen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Augen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gesehen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  <w:u w:val="single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angeschaut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haben…“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«wir»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bleibt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fortlaufenden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Text.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ausserordentlich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deutlich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machen,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exklusive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persönliche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Erfahrung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gemacht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sondern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dieselbe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Erfahrung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gemacht</w:t>
      </w:r>
      <w:r w:rsidR="0008668C">
        <w:rPr>
          <w:rFonts w:ascii="Times New Roman" w:hAnsi="Times New Roman"/>
          <w:sz w:val="20"/>
        </w:rPr>
        <w:t xml:space="preserve"> </w:t>
      </w:r>
      <w:r w:rsidR="00DA2C21">
        <w:rPr>
          <w:rFonts w:ascii="Times New Roman" w:hAnsi="Times New Roman"/>
          <w:sz w:val="20"/>
        </w:rPr>
        <w:t>hatten</w:t>
      </w:r>
      <w:r w:rsidRPr="009676B0">
        <w:rPr>
          <w:rFonts w:ascii="Times New Roman" w:hAnsi="Times New Roman"/>
          <w:sz w:val="20"/>
        </w:rPr>
        <w:t>.</w:t>
      </w:r>
      <w:r w:rsidR="0008668C">
        <w:rPr>
          <w:rFonts w:ascii="Times New Roman" w:hAnsi="Times New Roman"/>
          <w:sz w:val="20"/>
        </w:rPr>
        <w:t xml:space="preserve">  </w:t>
      </w:r>
      <w:r w:rsidRPr="009676B0">
        <w:rPr>
          <w:rFonts w:ascii="Times New Roman" w:hAnsi="Times New Roman"/>
          <w:sz w:val="20"/>
        </w:rPr>
        <w:t>Wen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besonderer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«wir»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einschliesst,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gleich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beginnt,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allem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Anfang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war.“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fragen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sofort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welchem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Anfang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spricht.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liegt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Anfang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zurück?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Entstehung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Volkes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Israels?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vielleicht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Geburt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Jesus?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denke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meint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damit,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Anfang,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bereits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erwähnte.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beginnt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Satz: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„Am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Anfang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Wort;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bei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Gott.</w:t>
      </w:r>
      <w:bookmarkStart w:id="5" w:name="_Hlk94880191"/>
      <w:r w:rsidRPr="009676B0">
        <w:rPr>
          <w:rFonts w:ascii="Times New Roman" w:hAnsi="Times New Roman"/>
          <w:bCs/>
          <w:i/>
          <w:noProof/>
          <w:sz w:val="20"/>
        </w:rPr>
        <w:t>“</w:t>
      </w:r>
      <w:bookmarkEnd w:id="5"/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Also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Anfang,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erschaffen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existierte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bereits.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Lebens.“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existierte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bereits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Erschaffung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Gedanken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weiterentwickelt.</w:t>
      </w:r>
      <w:r w:rsidR="0008668C">
        <w:rPr>
          <w:rFonts w:ascii="Times New Roman" w:hAnsi="Times New Roman"/>
          <w:sz w:val="20"/>
        </w:rPr>
        <w:t xml:space="preserve"> 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Anfang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selbst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„Er,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wurde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Mensch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Fleisch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Blut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lebte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unter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uns.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sahen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seine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lastRenderedPageBreak/>
        <w:t>Herrlichkeit,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Herrlichkeit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voller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Gnade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Wahrheit,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nur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einzige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Sohn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besitzt,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Vater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kommt.“</w:t>
      </w:r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besuchte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wissen,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gemeint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kann,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Maria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geboren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Jetzt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klar,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«wir»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eingeschossen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bestimmt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Jünger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unterwegs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äusserst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Voraussetzung,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musste.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für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Judas,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verraten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danach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starb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Ersatzapostel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suchte,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Bedingungen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klar: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„So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muss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nun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Männern,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bei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gewesen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ganze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Zeit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über,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Herr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Jesus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unter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gegangen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–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seiner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Taufe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durch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Johannes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bis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zu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Tag,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genommen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wurde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–,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Zeuge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seiner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Auferstehung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werden.“</w:t>
      </w:r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1–22.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betont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Erstes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Aspekt,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gehört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Händen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allem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Anfang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war,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gehört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eigenen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Augen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gesehen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angeschaut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betastet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unseren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Händen,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nämlich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–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reden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stark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betont,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Fleisch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Blut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anschauen,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konnte.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nach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Auferstehung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richtigen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Körper,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Auferstehungsleib,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Geist.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Jüngern,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nach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Auferstehung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„Schaut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meine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Hände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meine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Füsse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an: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wirklich!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Berührt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überzeugt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selbst!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doch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Fleisch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Knochen,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seht.“</w:t>
      </w:r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Damals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dabei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Jüngern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Auferstanden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geredet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angefasst.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deutlichen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Statement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bezeugt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Gottes,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Gedanke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durch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ganzen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hindurch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begegnen.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zeigen,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innere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Erfahrung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kann.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geworden.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gesagt: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bekommt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aufgrund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inneren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religiösen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Erfahrung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faszinierend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beeindruckend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bekommt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–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Lehrern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beeinflusst,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erklärten,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Fleisch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Blut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gelebt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durchaus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Auftrag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gewirkt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haben,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aber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deshalb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müsse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gleich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hingegen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innere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Begegnung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göttlichen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Geist.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Gedankengut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begegnen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Laufe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Briefes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Gedankengut,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bis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heute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verbreitet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verstehen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lernen.</w:t>
      </w:r>
      <w:r w:rsidR="0008668C">
        <w:rPr>
          <w:rFonts w:ascii="Times New Roman" w:hAnsi="Times New Roman"/>
          <w:sz w:val="20"/>
        </w:rPr>
        <w:t xml:space="preserve"> 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kämpft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ganzer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Kraft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Intelligenz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irreführenden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attraktiv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scheinenden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Lehren.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Deshalb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betont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unmissverständlich,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Kollegen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gesprochen,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zugehört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Händen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möglich,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übersinnlicher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Weise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Erscheinung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getreten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gesagt: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durch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innere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geistliche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Erfahrung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erlöst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beeindruckend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faszinierend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durch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erlöst.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Rettung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liegt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ausserhalb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Rettung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finden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Person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Später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bringt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prägnanten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Aussage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Punkt,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Sohn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Leben;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Sohn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finden.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einzige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bekommen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Demnach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wichtigste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Frage,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für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klären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muss,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Verbindung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steht,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mehr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2000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Jahren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besuchte.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Verbindung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bin,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haben.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einzige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Weg!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zitiert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sagte: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Wort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hört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glaubt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dem,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gesandt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ewige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kommt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Gericht,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sondern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Tode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zum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hindurchgedrungen.“</w:t>
      </w:r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Du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kannst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heute,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unsicher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bekommen.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möglich,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weil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auferstanden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deshalb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sprechen.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ansprechen,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gehört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Aufnahmeprüfung,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lastRenderedPageBreak/>
        <w:t>absolvieren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müssten.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aufrichtiges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Gebet,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anerkenne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Vertrauen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schenke.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Paulus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„Wenn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du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also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deinem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bekennst,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Jesus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Herr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deinem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Herzen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glaubst,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Gott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Toten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auferweckt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du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gerettet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werden.“</w:t>
      </w:r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Nichts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Welt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wichtiger,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als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gerettet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bekommen.</w:t>
      </w:r>
    </w:p>
    <w:p w14:paraId="52592C1B" w14:textId="0FCAD743" w:rsidR="009676B0" w:rsidRPr="009676B0" w:rsidRDefault="009676B0" w:rsidP="007D230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4876753"/>
      <w:r w:rsidRPr="009676B0">
        <w:rPr>
          <w:rFonts w:ascii="Times New Roman" w:hAnsi="Times New Roman"/>
          <w:b w:val="0"/>
          <w:sz w:val="24"/>
          <w:szCs w:val="24"/>
        </w:rPr>
        <w:t>Jetzt</w:t>
      </w:r>
      <w:r w:rsidR="0008668C">
        <w:rPr>
          <w:rFonts w:ascii="Times New Roman" w:hAnsi="Times New Roman"/>
          <w:b w:val="0"/>
          <w:sz w:val="24"/>
          <w:szCs w:val="24"/>
        </w:rPr>
        <w:t xml:space="preserve"> </w:t>
      </w:r>
      <w:r w:rsidRPr="009676B0">
        <w:rPr>
          <w:rFonts w:ascii="Times New Roman" w:hAnsi="Times New Roman"/>
          <w:b w:val="0"/>
          <w:sz w:val="24"/>
          <w:szCs w:val="24"/>
        </w:rPr>
        <w:t>verkündigen</w:t>
      </w:r>
      <w:r w:rsidR="0008668C">
        <w:rPr>
          <w:rFonts w:ascii="Times New Roman" w:hAnsi="Times New Roman"/>
          <w:b w:val="0"/>
          <w:sz w:val="24"/>
          <w:szCs w:val="24"/>
        </w:rPr>
        <w:t xml:space="preserve"> </w:t>
      </w:r>
      <w:r w:rsidRPr="009676B0">
        <w:rPr>
          <w:rFonts w:ascii="Times New Roman" w:hAnsi="Times New Roman"/>
          <w:b w:val="0"/>
          <w:sz w:val="24"/>
          <w:szCs w:val="24"/>
        </w:rPr>
        <w:t>wir!</w:t>
      </w:r>
      <w:bookmarkEnd w:id="6"/>
    </w:p>
    <w:p w14:paraId="12C426C4" w14:textId="3ADE766D" w:rsidR="009676B0" w:rsidRPr="009676B0" w:rsidRDefault="009676B0" w:rsidP="001D6E80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Augenzeugen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sollen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Tatsache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festhalten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durch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Ansichten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irritieren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lassen.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„Denn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offenbar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geworden,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gesehen;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Zeugen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dafür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verkünden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unvergängliche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beim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Vater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war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offenbart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hat.“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Johannes,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Jünger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Kollegen,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unterwegs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Augenzeugen.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jetzt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berichten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darüber.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Augenzeugen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erzählen,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gehört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Zeugen,</w:t>
      </w:r>
      <w:r w:rsidR="0008668C">
        <w:rPr>
          <w:rFonts w:ascii="Times New Roman" w:hAnsi="Times New Roman"/>
          <w:sz w:val="20"/>
        </w:rPr>
        <w:t xml:space="preserve"> </w:t>
      </w:r>
      <w:proofErr w:type="gramStart"/>
      <w:r w:rsidRPr="009676B0">
        <w:rPr>
          <w:rFonts w:ascii="Times New Roman" w:hAnsi="Times New Roman"/>
          <w:sz w:val="20"/>
        </w:rPr>
        <w:t>dass</w:t>
      </w:r>
      <w:proofErr w:type="gramEnd"/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Auferstanden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Für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klar,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niemand,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später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zum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gekommen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Niemand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konnte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Händen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konnten.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Petrus,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unterwegs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konnte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deshalb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grösster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Selbstverständlichkeit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schreiben: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„Ihn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(Jesus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Christus)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gesehen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doch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lieb;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nun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glaubt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obwohl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seht;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werdet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aber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freuen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mit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unaussprechlicher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herrlicher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Freude,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ihr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Ziel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eures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Glaubens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erlangt,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nämlich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eure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endgültige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Rettung.“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–9.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Dann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–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Ziel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angekommen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–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Doch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jetzt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Glauben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Schauen,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Paulus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leben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ja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noch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Zeit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Glaubens,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noch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nicht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Zeit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Schauens.“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Wenn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nachfolgen,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dann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vertrauen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Augenzeugen,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gehört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ihn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proofErr w:type="gramStart"/>
      <w:r w:rsidRPr="009676B0">
        <w:rPr>
          <w:rFonts w:ascii="Times New Roman" w:hAnsi="Times New Roman"/>
          <w:sz w:val="20"/>
        </w:rPr>
        <w:t>werde</w:t>
      </w:r>
      <w:proofErr w:type="gramEnd"/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nächsten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Teil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Serie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vertiefen.</w:t>
      </w:r>
    </w:p>
    <w:p w14:paraId="0A0FD7D7" w14:textId="10494AAD" w:rsidR="009676B0" w:rsidRPr="009676B0" w:rsidRDefault="009676B0" w:rsidP="00D2608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676B0">
        <w:rPr>
          <w:rFonts w:ascii="Times New Roman" w:hAnsi="Times New Roman"/>
          <w:b w:val="0"/>
          <w:sz w:val="24"/>
          <w:szCs w:val="24"/>
        </w:rPr>
        <w:t>Schlussgedanke</w:t>
      </w:r>
    </w:p>
    <w:p w14:paraId="34C2C703" w14:textId="762C8CAE" w:rsidR="009676B0" w:rsidRPr="009676B0" w:rsidRDefault="009676B0" w:rsidP="001D6E80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gesehen.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konnte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eigenen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Händen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berühren.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begegnete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keinem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Geist,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sondern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Gott,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wurde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besuchte.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spricht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Johannes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macht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deutlich,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Botschaft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gibt,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retten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könnte.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Botschaft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hat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Ursprung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dem,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Anfang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war.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etwas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anderes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Verkündigen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will,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verführt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Menschen.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Apostel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Paulus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sagte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grossem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Ernst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proofErr w:type="spellStart"/>
      <w:r w:rsidRPr="009676B0">
        <w:rPr>
          <w:rFonts w:ascii="Times New Roman" w:hAnsi="Times New Roman"/>
          <w:sz w:val="20"/>
        </w:rPr>
        <w:t>Galatien</w:t>
      </w:r>
      <w:proofErr w:type="spellEnd"/>
      <w:r w:rsidRPr="009676B0">
        <w:rPr>
          <w:rFonts w:ascii="Times New Roman" w:hAnsi="Times New Roman"/>
          <w:sz w:val="20"/>
        </w:rPr>
        <w:t>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sich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von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Irrlehren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beeinflussen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liessen: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„Aber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oder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Engel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vom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Himmel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ein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Evangelium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predigen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würden,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das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anders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wir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euch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gepredigt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haben,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sei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verflucht.“</w:t>
      </w:r>
      <w:r w:rsidR="0008668C">
        <w:rPr>
          <w:rFonts w:ascii="Arial Rounded MT Bold" w:hAnsi="Arial Rounded MT Bold" w:cs="Arial"/>
          <w:bCs/>
        </w:rPr>
        <w:t xml:space="preserve"> 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gibt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nur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Menschen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befreit,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Leben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ermöglicht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Himmel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bringt.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ist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Evangelium,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dessen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Ursprung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diesem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Wort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liegt,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das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seit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Ewigkeiten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existiert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und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eines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Tages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die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Erde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besuchte: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Jesus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Christus.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Oder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wir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können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es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auch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mit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Paulus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sagen,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der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den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Christen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in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Korinth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sz w:val="20"/>
        </w:rPr>
        <w:t>schreibt:</w:t>
      </w:r>
      <w:r w:rsidR="0008668C">
        <w:rPr>
          <w:rFonts w:ascii="Times New Roman" w:hAnsi="Times New Roman"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„Einen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andern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Grund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kann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niemand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legen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als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den,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der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gelegt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ist,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welcher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ist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Jesus</w:t>
      </w:r>
      <w:r w:rsidR="0008668C">
        <w:rPr>
          <w:rFonts w:ascii="Times New Roman" w:hAnsi="Times New Roman"/>
          <w:bCs/>
          <w:i/>
          <w:noProof/>
          <w:sz w:val="20"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20"/>
        </w:rPr>
        <w:t>Christus.“</w:t>
      </w:r>
      <w:r w:rsidR="0008668C">
        <w:rPr>
          <w:rFonts w:ascii="Arial Rounded MT Bold" w:hAnsi="Arial Rounded MT Bold" w:cs="Arial"/>
          <w:bCs/>
        </w:rPr>
        <w:t xml:space="preserve">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8668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676B0">
        <w:rPr>
          <w:rFonts w:ascii="Times New Roman" w:hAnsi="Times New Roman"/>
          <w:bCs/>
          <w:i/>
          <w:noProof/>
          <w:sz w:val="16"/>
          <w:szCs w:val="16"/>
        </w:rPr>
        <w:t>1.</w:t>
      </w:r>
    </w:p>
    <w:p w14:paraId="2F5998C1" w14:textId="77777777" w:rsidR="009676B0" w:rsidRPr="009676B0" w:rsidRDefault="009676B0" w:rsidP="009676B0">
      <w:pPr>
        <w:spacing w:before="40" w:after="40" w:line="360" w:lineRule="auto"/>
        <w:rPr>
          <w:rFonts w:ascii="Arial" w:hAnsi="Arial" w:cs="Arial"/>
          <w:sz w:val="22"/>
        </w:rPr>
      </w:pPr>
    </w:p>
    <w:p w14:paraId="0D1EFE9D" w14:textId="7A84AB60" w:rsidR="00D95A19" w:rsidRDefault="001D6E80"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2B977BDF">
                <wp:simplePos x="0" y="0"/>
                <wp:positionH relativeFrom="margin">
                  <wp:posOffset>3959431</wp:posOffset>
                </wp:positionH>
                <wp:positionV relativeFrom="paragraph">
                  <wp:posOffset>2277745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37AECE63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E773D6">
                              <w:t>6</w:t>
                            </w:r>
                            <w:r>
                              <w:t xml:space="preserve">. </w:t>
                            </w:r>
                            <w:r w:rsidR="00E773D6">
                              <w:t>Februar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75pt;margin-top:179.3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yqO7DiAAAACwEAAA8AAAAAAAAAAAAAAAAAaAQAAGRycy9kb3ducmV2LnhtbFBLBQYAAAAABAAE&#10;APMAAAB3BQAAAAA=&#10;" stroked="f">
                <v:textbox style="mso-fit-shape-to-text:t">
                  <w:txbxContent>
                    <w:p w14:paraId="70F7E5A6" w14:textId="37AECE63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E773D6">
                        <w:t>6</w:t>
                      </w:r>
                      <w:r>
                        <w:t xml:space="preserve">. </w:t>
                      </w:r>
                      <w:r w:rsidR="00E773D6">
                        <w:t>Februar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bookmarkEnd w:id="2"/>
    </w:p>
    <w:sectPr w:rsidR="00D95A19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4B16" w14:textId="77777777" w:rsidR="00A066C0" w:rsidRDefault="00A066C0">
      <w:r>
        <w:separator/>
      </w:r>
    </w:p>
  </w:endnote>
  <w:endnote w:type="continuationSeparator" w:id="0">
    <w:p w14:paraId="6C24E57B" w14:textId="77777777" w:rsidR="00A066C0" w:rsidRDefault="00A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668C">
      <w:rPr>
        <w:rStyle w:val="Seitenzahl"/>
        <w:noProof/>
      </w:rPr>
      <w:t>4</w:t>
    </w:r>
    <w:r>
      <w:rPr>
        <w:rStyle w:val="Seitenzahl"/>
      </w:rPr>
      <w:fldChar w:fldCharType="end"/>
    </w:r>
  </w:p>
  <w:p w14:paraId="37CADE74" w14:textId="2F24012A" w:rsidR="00615E7B" w:rsidRDefault="00D95A19" w:rsidP="00A72170">
    <w:pPr>
      <w:pStyle w:val="Fuzeile"/>
      <w:tabs>
        <w:tab w:val="clear" w:pos="4320"/>
        <w:tab w:val="clear" w:pos="8640"/>
        <w:tab w:val="left" w:pos="6093"/>
      </w:tabs>
    </w:pPr>
    <w:r w:rsidRPr="00D95A19">
      <w:t>Grundlegendes zum christlichen Leben</w:t>
    </w:r>
    <w:r w:rsidR="00A72170">
      <w:t xml:space="preserve"> (</w:t>
    </w:r>
    <w:r>
      <w:t>1</w:t>
    </w:r>
    <w:r w:rsidR="00A72170">
      <w:t>/</w:t>
    </w:r>
    <w:r>
      <w:t>6</w:t>
    </w:r>
    <w:r w:rsidR="00A72170">
      <w:t>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DF3A" w14:textId="77777777" w:rsidR="00A066C0" w:rsidRDefault="00A066C0">
      <w:r>
        <w:separator/>
      </w:r>
    </w:p>
  </w:footnote>
  <w:footnote w:type="continuationSeparator" w:id="0">
    <w:p w14:paraId="5385188C" w14:textId="77777777" w:rsidR="00A066C0" w:rsidRDefault="00A0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3DC7"/>
    <w:rsid w:val="000843DD"/>
    <w:rsid w:val="0008668C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8A90-D51D-4B59-A2C2-13CD954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2458</Words>
  <Characters>12661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1/6 - Das ewige Leben wurde fassbar - Leseexemplar</vt:lpstr>
    </vt:vector>
  </TitlesOfParts>
  <Company/>
  <LinksUpToDate>false</LinksUpToDate>
  <CharactersWithSpaces>15089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1/6 - Das ewige Leben wurde fassbar - Leseexemplar</dc:title>
  <dc:creator>Jürg Birnstiel</dc:creator>
  <cp:lastModifiedBy>Me</cp:lastModifiedBy>
  <cp:revision>44</cp:revision>
  <cp:lastPrinted>2020-03-30T12:05:00Z</cp:lastPrinted>
  <dcterms:created xsi:type="dcterms:W3CDTF">2022-01-18T15:07:00Z</dcterms:created>
  <dcterms:modified xsi:type="dcterms:W3CDTF">2022-04-14T18:14:00Z</dcterms:modified>
</cp:coreProperties>
</file>