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64F26" w:rsidRPr="00B64F26" w:rsidRDefault="00B64F26" w:rsidP="00B64F26">
      <w:pPr>
        <w:pBdr>
          <w:bottom w:val="single" w:sz="48" w:space="0" w:color="E1E1E1"/>
        </w:pBd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</w:pP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begin"/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instrText xml:space="preserve"> HYPERLINK "https://www.gemeindenetzwerk.de/?p=19135" \o "Permanenter Link zu Yuval Noah Harari – Prophet des antichristlichen Imperiums" </w:instrTex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separate"/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Yuval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Noah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proofErr w:type="spellStart"/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Harari</w:t>
      </w:r>
      <w:proofErr w:type="spellEnd"/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–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Prophet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des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antichristlichen</w:t>
      </w:r>
      <w:r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 xml:space="preserve"> </w: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t>Imperiums</w:t>
      </w:r>
      <w:r w:rsidRPr="00B64F26">
        <w:rPr>
          <w:rFonts w:ascii="Trebuchet MS" w:eastAsia="Times New Roman" w:hAnsi="Trebuchet MS" w:cs="Times New Roman"/>
          <w:b/>
          <w:bCs/>
          <w:color w:val="646464"/>
          <w:sz w:val="43"/>
          <w:szCs w:val="43"/>
          <w:lang w:eastAsia="de-DE" w:bidi="he-IL"/>
        </w:rPr>
        <w:fldChar w:fldCharType="end"/>
      </w:r>
    </w:p>
    <w:bookmarkEnd w:id="0"/>
    <w:p w:rsidR="00B64F26" w:rsidRPr="00B64F26" w:rsidRDefault="00B64F26" w:rsidP="00B64F2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</w:pPr>
      <w:r w:rsidRPr="00B64F2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Dienstag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23.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August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2022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von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Johann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de-DE" w:bidi="he-IL"/>
        </w:rPr>
        <w:t>Hesse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Yuval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israelischer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Historiker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Dozent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Hebräischen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Universität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Jerusalem.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international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bekannt.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50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übersetzt.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Nachfolgebücher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„21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Lektionen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21.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Jahrhundert“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erreichen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weltweite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Leserschaft.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gefragter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internationaler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Redner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Schwab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mehrfach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Economic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(WEF)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Davos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eingeladen,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global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vernetzten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Publikum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Wirtschaftsführern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vortragen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konnte.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Barack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Obama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inspiriert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Angela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Merkel,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Emmanuel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Macron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Sebastian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trafen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Gedankenaustausch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gelesen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vegan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industrialisierte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Massentierhaltung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größten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Verbrechen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Menschheitsgeschichte.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gleichgeschlechtlichen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Partnerschaft.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berichtete,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täglich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Stunden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meditiere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Praxis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verändert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Arbeit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beeinflusst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habe.</w:t>
      </w:r>
      <w:bookmarkStart w:id="1" w:name="_ftnref1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Ablehnung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biblischen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Christentums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unterscheidet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„natürlichen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z.B.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Naturgesetzen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„erfundenen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Codex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Hammurabi,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Allgemeine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Erklärung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Menschenrechte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Glaubenssystemen.</w:t>
      </w:r>
      <w:bookmarkStart w:id="2" w:name="_ftnref2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"_ftn2"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Während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natürliche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stabil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„läuft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erfundene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ständig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Gefahr,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zusammenzufallen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Kartenhaus,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Mythen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gebaut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Mythen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verschwinden,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glaubt.“</w:t>
      </w:r>
      <w:bookmarkStart w:id="3" w:name="_ftnref3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"_ftn3"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[3]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biblischen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Schöpfungsbericht</w:t>
      </w:r>
      <w:bookmarkStart w:id="4" w:name="_ftnref4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"_ftn4"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[4]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insgesamt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„kollektiven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Mythos“</w:t>
      </w:r>
      <w:bookmarkStart w:id="5" w:name="_ftnref5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"_ftn5"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[5]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5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Köpfen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existiere.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bringe,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erfundene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Christentum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antwortet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dürfen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zugeben,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Fantasieprodukt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bestehen,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Gesellschaft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stützt,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objektive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Göttern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geschaffen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entspricht.“</w:t>
      </w:r>
      <w:bookmarkStart w:id="6" w:name="_ftnref6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"_ftn6"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[6]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6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Unverblümt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leugnet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Historizität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zentraler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Inhalte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Fernsehinterviews: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ganze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Auferstehung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Vorstellung,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Sohn,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‚fake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news</w:t>
      </w:r>
      <w:proofErr w:type="spellEnd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‘.“</w:t>
      </w:r>
      <w:bookmarkStart w:id="7" w:name="_ftnref7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"_ftn7"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[7]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7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Unterscheidung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naturgesetzlich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verankerten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„natürlichen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mythologisch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basierten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„erfundenen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Ordnungen“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ethische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Fragestellungen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biologischen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Tatsachen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beruht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bloßen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Mythen?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Faustregel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lautet: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erlaubt,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Kultur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verbietet.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…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Kultur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behauptet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gern,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verbiete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‚unnatürliche‘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Dinge.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biologischer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unnatürlich.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definitionsgemäß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natürlich.“</w:t>
      </w:r>
      <w:bookmarkStart w:id="8" w:name="_ftnref8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"_ftn8"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[8]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8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Insbesondere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z.B.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Blick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Einordnung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Homosexualität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verantwortlich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Unterscheidung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„natürlichen“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„unnatürlichen“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Verhaltensweisen.</w:t>
      </w:r>
      <w:bookmarkStart w:id="9" w:name="_ftnref9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"_ftn9"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[9]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9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behaupteten,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Körper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geschaffen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Körperteil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Organ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bestimmte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Funktion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zugedacht.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Solange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Körperteile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Organe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beabsichtigten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benutzen,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natürliche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Tätigkeit.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Benutzen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handeln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widernatürlich.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Evolution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Absicht.“</w:t>
      </w:r>
      <w:bookmarkStart w:id="10" w:name="_ftnref10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"_ftn10"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[10]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0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vertritt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naturalistisch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begründete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Ethik: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hervorbringe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erlaubt.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metaphysischen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Begründungszusammenhänge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bereits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Mythen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Fabeln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verwiesen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jüdisch-christliche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Sexualethik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entschieden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Judasbrief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Irrlehrern: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„Ebenso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Träumer,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Fleisch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beflecken,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verachten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himmlischen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Mächte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lästern.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…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lästern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verstehen;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unvernünftigen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Tiere,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verderben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(Judas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8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10).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Evolution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deus</w:t>
      </w:r>
      <w:proofErr w:type="spellEnd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bereits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geschildert,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vertritt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naturalistisches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Weltbild.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Erwartungsgemäß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darwinistischen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Evolutionstheorie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kombiniert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unbegrenzten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Fortschrittsglauben.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Milliarden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bastelt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natürliche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Selektion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Körpern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justiert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Amöben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Reptilien,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Säugetieren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Sapiens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entwickelt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Annahme,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Sapiens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Station.“</w:t>
      </w:r>
      <w:bookmarkStart w:id="11" w:name="_ftnref11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"_ftn11"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[11]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1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„nun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Götter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verwandeln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sapiens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machen“</w:t>
      </w:r>
      <w:bookmarkStart w:id="12" w:name="_ftnref12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"_ftn12"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[12]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2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unvermeidliches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Schicksal,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lediglich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Problem“: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sterben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Götter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beschlossen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Versagen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–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Herzinfarkte,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Krebs,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Infektionen.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Problem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Lösung.“</w:t>
      </w:r>
      <w:bookmarkStart w:id="13" w:name="_ftnref13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"_ftn13"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[13]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3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wichtigste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Projekt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liegenden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Revolution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Menschen“.</w:t>
      </w:r>
      <w:bookmarkStart w:id="14" w:name="_ftnref14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"_ftn14"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[14]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4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21.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Jahrhundert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vermutlich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Unsterblichkeit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greifen.“</w:t>
      </w:r>
      <w:bookmarkStart w:id="15" w:name="_ftnref15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"_ftn15"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[15]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5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totalen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Krieg“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erklären.</w:t>
      </w:r>
      <w:bookmarkStart w:id="16" w:name="_ftnref16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"_ftn16"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[16]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6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Sprecher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listigen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Schlange,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verführte: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keineswegs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sterben,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…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.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4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-5).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verhängte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Strafe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.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1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7;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Römer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6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2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„technisches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Problem“,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lösen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sogar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lösen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überzeugt,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technologische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Fortschritt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versetzen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besiegen,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ermöglichen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Göttlichkeit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erlangen.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Ausführungen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Zukunftsvisionen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blasphemisch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antichristlich.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allmächtigen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Schöpfergottes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setzt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ziellosen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Evolutionsmechanismus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Erlösungswerkes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transhumanistische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Überwindung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Vergottung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widerstehen.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gebührt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Hände: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„Herr,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würdig,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nehmen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Preis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Ehre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Kraft;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geschaffen,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geschaffen“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Offenbarung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4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1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1).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überwindet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schenkt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Sünde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Tod;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Römer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6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2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3).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„Fürchte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Lebendige.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lebendig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Schlüssel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Hölle“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Offenbarung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1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7-18).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Vision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globalen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Imperium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befasst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„Traum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Weltreich“.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stellt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fest,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Weltreiche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„heutzutage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Ruf“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hätten.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kritisiert,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1.)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funktionierten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2.)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Eroberer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Eroberte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korrumpierten.</w:t>
      </w:r>
      <w:bookmarkStart w:id="17" w:name="_ftnref17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"_ftn17"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[17]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7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hält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Kritik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unsinnig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mindestens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fragwürdig.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Negativbeispielen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frühere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Weltreiche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vergleichsweise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positive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Ausnahmen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persische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Kyros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behauptete,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regiere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Nutzen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unterworfenen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Völker: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unterwerfen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wollen.“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berühmtestes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Beispiel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führt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Entscheidung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Perser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Rückkehr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Israel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Wiederaufbau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Tempels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gestatten.</w:t>
      </w:r>
      <w:bookmarkStart w:id="18" w:name="_ftnref18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"_ftn18"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[18]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8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aufhorchen,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spricht: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zweieinhalb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Jahrtausenden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Herrschaft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Zukunft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diesmal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Bezeichnung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Weltreich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tatsächlich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verdient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imperiale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Vision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einzigen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Territoriums,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gesamten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Erdball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umfasst,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bald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werden.“</w:t>
      </w:r>
      <w:bookmarkStart w:id="19" w:name="_ftnref19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"_ftn19"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[19]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19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Überzeugung,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Nationalstaaten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Beginn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21.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Jahrhunderts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rasch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Boden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verlören.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ausgehe,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oberste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Gebot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Politik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fragt: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„Warum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unabhängige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finanzieren?“</w:t>
      </w:r>
      <w:bookmarkStart w:id="20" w:name="_ftnref20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"_ftn20"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[20]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0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Nationalstaaten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Problemen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global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vernetzten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überfordert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weltweit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agierendes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Herausforderungen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Zukunft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gewachsen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bereits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begriffen: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globale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entsteht,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bestimmten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bestimmten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ethnischen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Gruppe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beherrscht.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Römische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Spätphase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multiethnischen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Elite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geführt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gemeinsamen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Kultur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gemeinsamen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Interessen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zusammengehalten.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Unternehmer,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Ingenieure,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Experten,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Wissenschaftler,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Anwälte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Manager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heute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Option,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anzuschließen.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entscheiden,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wahrzunehmen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Staat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Volk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treu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bleiben.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Immer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entscheiden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Imperium.“</w:t>
      </w:r>
      <w:bookmarkStart w:id="21" w:name="_ftnref21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"_ftn21"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[21]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1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imperiale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Visionen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vorschnell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Science-Fiction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bloße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Spinnerei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Universitätsprofessors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abtun.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multiethnische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Elite,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jährlich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Klaus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Schwab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World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Economic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Davos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einladen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lässt,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ernstzunehmenden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Vordenker.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Unschwer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Büchern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Vorträgen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implizite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Aufforderung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WEF-Elite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etwa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lautet: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„Übernehmt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Guten)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Führung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bevor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Bösen)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tun!“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Pakt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Teufel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beschreibt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„modernen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Pakt“,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Gesellschaftsvertrag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modernen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zusammenfassen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lässt: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stimmen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verzichten,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erhalten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Gegenzug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Macht.“</w:t>
      </w:r>
      <w:bookmarkStart w:id="22" w:name="_ftnref22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"_ftn22"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[22]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2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moderne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Kultur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Grundlage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wissenschaftlicher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Erkenntnis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Universum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blinder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zielloser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Prozess“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lehne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Glauben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„großen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kosmischen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Plan“,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Existenz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göttlichen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„Regisseurs“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verbindliches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Drehbuch“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Bedeutung.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Weil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Regisseur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Drehbuch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einschränken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„vorgegebene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Rolle“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beschränkt: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wollen,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vorausgesetzt,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finden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Möglichkeit.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…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wartet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Paradies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Paradies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schaffen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darin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Schwierigkeiten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überwinden.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…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Tages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umfassend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Technologie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fortgeschritten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Elixier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Jugend,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Elixier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wahren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Glücks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gewünschte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Mittelchen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zusammenmixen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können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aufhalten.“</w:t>
      </w:r>
      <w:bookmarkStart w:id="23" w:name="_ftnref23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"_ftn23"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[23]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3"/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„moderne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Pakt“,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beschreibt,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anderes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Pakt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Teufel.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Sollten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Zukunftsvisionen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tatsächlich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Wirklichkeit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würde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Antichristen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wiederfinden,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Apokalypse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Johannes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angekündigt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ist: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[dem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Tier]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Maul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große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Dinge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Lästerungen,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tun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zweiundvierzig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Monate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lang.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Maul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Lästerung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lästern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Hütte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Himmel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wohnen.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kämpfen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mit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Heiligen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überwinden;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wurde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ihm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Stämme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Völker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Sprachen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Nationen.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wohnen,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anbeten,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geschrieben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stehen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Lebensbuch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Lammes,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geschlachtet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jemand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Ohren,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höre!“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Offenbarung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13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5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-9).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Herr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de-DE" w:bidi="he-IL"/>
        </w:rPr>
        <w:t>Geschichte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Wort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antichristliche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Weltreich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kommen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sagt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Tage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letzten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Imperiums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gezählt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wissen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gibt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kosmischen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Plan.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Regisseur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Autor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Drehbuchs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Menschheitsgeschichte.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sondern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Welt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schaffen,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ewiges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Glück,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keinen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Tod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Leid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Geschrei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Schmerz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Offenbarung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4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).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allmächtige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versprochen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verbürgt: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„Siehe,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mache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neu!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…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Anfang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Ende.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Durstigen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geben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Quelle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lebendigen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Wassers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umsonst.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überwindet,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ererben,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werde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wird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Sohn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sein“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Offenbarung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5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-7).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Johann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Hesse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Quelle: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Aufbruch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–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Informationen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Gemeindehilfsbundes</w:t>
      </w:r>
      <w:proofErr w:type="spellEnd"/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2/2022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(Juli)</w:t>
      </w:r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hyperlink r:id="rId6" w:history="1"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Sie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können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die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aktuelle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Ausgabe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des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Aufbruchs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hier</w:t>
        </w:r>
        <w:r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 xml:space="preserve"> </w:t>
        </w:r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herunterladen.</w:t>
        </w:r>
      </w:hyperlink>
    </w:p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Wenn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Aufbruch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abonnieren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möchten,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schreiben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Sie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bitte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an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Geschäftsstelle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des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Gemeindehilfsbundes</w:t>
      </w:r>
      <w:proofErr w:type="spellEnd"/>
      <w:r w:rsidRPr="00B64F26"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>:</w:t>
      </w:r>
      <w:r>
        <w:rPr>
          <w:rFonts w:ascii="Verdana" w:eastAsia="Times New Roman" w:hAnsi="Verdana" w:cs="Times New Roman"/>
          <w:i/>
          <w:iCs/>
          <w:color w:val="000000"/>
          <w:sz w:val="19"/>
          <w:szCs w:val="19"/>
          <w:lang w:eastAsia="de-DE" w:bidi="he-IL"/>
        </w:rPr>
        <w:t xml:space="preserve"> </w:t>
      </w:r>
      <w:hyperlink r:id="rId7" w:history="1">
        <w:r w:rsidRPr="00B64F26">
          <w:rPr>
            <w:rFonts w:ascii="Verdana" w:eastAsia="Times New Roman" w:hAnsi="Verdana" w:cs="Times New Roman"/>
            <w:b/>
            <w:bCs/>
            <w:i/>
            <w:iCs/>
            <w:color w:val="467AA7"/>
            <w:sz w:val="19"/>
            <w:szCs w:val="19"/>
            <w:lang w:eastAsia="de-DE" w:bidi="he-IL"/>
          </w:rPr>
          <w:t>info@gemeindehilfsbund.de</w:t>
        </w:r>
      </w:hyperlink>
    </w:p>
    <w:bookmarkStart w:id="24" w:name="_ftn1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4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Alle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Informationen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zur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Person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Yuval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sind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abrufbar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hyperlink r:id="rId8" w:history="1">
        <w:r w:rsidRPr="00B64F26">
          <w:rPr>
            <w:rFonts w:ascii="Verdana" w:eastAsia="Times New Roman" w:hAnsi="Verdana" w:cs="Times New Roman"/>
            <w:b/>
            <w:bCs/>
            <w:color w:val="467AA7"/>
            <w:sz w:val="19"/>
            <w:szCs w:val="19"/>
            <w:lang w:eastAsia="de-DE" w:bidi="he-IL"/>
          </w:rPr>
          <w:t>https://de.wikipedia.org/wiki/Yuval_Noah_Harari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(abgerufen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8.6.2022).</w:t>
      </w:r>
    </w:p>
    <w:bookmarkStart w:id="25" w:name="_ftn2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"_ftnref2"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5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Yuval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Pantheon-Verlag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(hebräische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Originalausgabe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2011),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17.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Auflage,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DVA,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München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2015,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141.</w:t>
      </w:r>
    </w:p>
    <w:bookmarkStart w:id="26" w:name="_ftn3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"_ftnref3"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[3]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6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Ebenda.</w:t>
      </w:r>
    </w:p>
    <w:bookmarkStart w:id="27" w:name="_ftn4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"_ftnref4"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[4]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7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37.</w:t>
      </w:r>
    </w:p>
    <w:bookmarkStart w:id="28" w:name="_ftn5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"_ftnref5"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[5]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8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41.</w:t>
      </w:r>
    </w:p>
    <w:bookmarkStart w:id="29" w:name="_ftn6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"_ftnref6"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[6]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29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143.</w:t>
      </w:r>
    </w:p>
    <w:bookmarkStart w:id="30" w:name="_ftn7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"_ftnref7"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[7]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0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hyperlink r:id="rId9" w:history="1">
        <w:r w:rsidRPr="00B64F26">
          <w:rPr>
            <w:rFonts w:ascii="Verdana" w:eastAsia="Times New Roman" w:hAnsi="Verdana" w:cs="Times New Roman"/>
            <w:b/>
            <w:bCs/>
            <w:color w:val="467AA7"/>
            <w:sz w:val="19"/>
            <w:szCs w:val="19"/>
            <w:lang w:eastAsia="de-DE" w:bidi="he-IL"/>
          </w:rPr>
          <w:t>https://www.bitchute.com/video/ylYfZlDNSDFN/</w:t>
        </w:r>
      </w:hyperlink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(abgerufen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9.6.2022).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Original: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„All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story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with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Jesus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rising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from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dead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being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son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of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God</w:t>
      </w:r>
      <w:proofErr w:type="spellEnd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;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is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fake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news</w:t>
      </w:r>
      <w:proofErr w:type="spellEnd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“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(Übersetzung: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Johann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Hesse).</w:t>
      </w:r>
    </w:p>
    <w:bookmarkStart w:id="31" w:name="_ftn8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"_ftnref8"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[8]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1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184.</w:t>
      </w:r>
    </w:p>
    <w:bookmarkStart w:id="32" w:name="_ftn9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"_ftnref9"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[9]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2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verwundert,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dass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ausschließlich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christliche,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nicht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jüdische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Theologie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anführt,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denn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Unterscheidung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natürlichen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unnatürlichen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Verhaltensweisen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die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Einordnung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praktizierter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Homosexualität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als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unnatürlich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bei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Paulus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in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Römer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2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6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gründet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unmittelbar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auf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dem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mosaischen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Gesetz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(3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Mose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 1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3).</w:t>
      </w:r>
    </w:p>
    <w:bookmarkStart w:id="33" w:name="_ftn10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"_ftnref10"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[10]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3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184.</w:t>
      </w:r>
    </w:p>
    <w:bookmarkStart w:id="34" w:name="_ftn11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"_ftnref11"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[11]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4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Yuval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Noah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proofErr w:type="spellStart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Harari</w:t>
      </w:r>
      <w:proofErr w:type="spellEnd"/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–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Morgen,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gelesen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von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Jürgen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Holdorf,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Hörverlag,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Hamburg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2017,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Abschnitt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34.</w:t>
      </w:r>
    </w:p>
    <w:bookmarkStart w:id="35" w:name="_ftn12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"_ftnref12"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[12]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5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Abschnitt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14.</w:t>
      </w:r>
    </w:p>
    <w:bookmarkStart w:id="36" w:name="_ftn13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"_ftnref13"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[13]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6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326.</w:t>
      </w:r>
    </w:p>
    <w:bookmarkStart w:id="37" w:name="_ftn14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"_ftnref14"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[14]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7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327.</w:t>
      </w:r>
    </w:p>
    <w:bookmarkStart w:id="38" w:name="_ftn15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"_ftnref15"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[15]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8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Abschnitt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15.</w:t>
      </w:r>
    </w:p>
    <w:bookmarkStart w:id="39" w:name="_ftn16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"_ftnref16"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[16]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39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Abschnitt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15.</w:t>
      </w:r>
    </w:p>
    <w:bookmarkStart w:id="40" w:name="_ftn17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"_ftnref17"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[17]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0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Eine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kurze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Geschichte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der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Menschheit,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235.</w:t>
      </w:r>
    </w:p>
    <w:bookmarkStart w:id="41" w:name="_ftn18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"_ftnref18"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[18]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1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239.</w:t>
      </w:r>
    </w:p>
    <w:bookmarkStart w:id="42" w:name="_ftn19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"_ftnref19"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[19]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2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251.</w:t>
      </w:r>
    </w:p>
    <w:bookmarkStart w:id="43" w:name="_ftn20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"_ftnref20"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[20]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3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Ebenda.</w:t>
      </w:r>
    </w:p>
    <w:bookmarkStart w:id="44" w:name="_ftn21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"_ftnref21"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[21]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4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Ebenda,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S.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252.</w:t>
      </w:r>
    </w:p>
    <w:bookmarkStart w:id="45" w:name="_ftn22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"_ftnref22"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[22]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5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Abschnitt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117.</w:t>
      </w:r>
    </w:p>
    <w:bookmarkStart w:id="46" w:name="_ftn23"/>
    <w:p w:rsidR="00B64F26" w:rsidRPr="00B64F26" w:rsidRDefault="00B64F26" w:rsidP="00B64F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</w:pP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begin"/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instrText xml:space="preserve"> HYPERLINK "https://www.gemeindenetzwerk.de/?p=19135" \l "_ftnref23" </w:instrTex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separate"/>
      </w:r>
      <w:r w:rsidRPr="00B64F26">
        <w:rPr>
          <w:rFonts w:ascii="Verdana" w:eastAsia="Times New Roman" w:hAnsi="Verdana" w:cs="Times New Roman"/>
          <w:b/>
          <w:bCs/>
          <w:color w:val="467AA7"/>
          <w:sz w:val="19"/>
          <w:szCs w:val="19"/>
          <w:lang w:eastAsia="de-DE" w:bidi="he-IL"/>
        </w:rPr>
        <w:t>[23]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fldChar w:fldCharType="end"/>
      </w:r>
      <w:bookmarkEnd w:id="46"/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Homo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Deus,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CD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2,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Abschnitt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 xml:space="preserve"> </w:t>
      </w:r>
      <w:r w:rsidRPr="00B64F26">
        <w:rPr>
          <w:rFonts w:ascii="Verdana" w:eastAsia="Times New Roman" w:hAnsi="Verdana" w:cs="Times New Roman"/>
          <w:color w:val="000000"/>
          <w:sz w:val="19"/>
          <w:szCs w:val="19"/>
          <w:lang w:eastAsia="de-DE" w:bidi="he-IL"/>
        </w:rPr>
        <w:t>118.</w:t>
      </w:r>
    </w:p>
    <w:p w:rsidR="00196B48" w:rsidRDefault="00196B48"/>
    <w:sectPr w:rsidR="00196B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6"/>
    <w:rsid w:val="00196B48"/>
    <w:rsid w:val="00B6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64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4F26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B64F26"/>
    <w:rPr>
      <w:color w:val="0000FF"/>
      <w:u w:val="single"/>
    </w:rPr>
  </w:style>
  <w:style w:type="paragraph" w:customStyle="1" w:styleId="prefix">
    <w:name w:val="prefix"/>
    <w:basedOn w:val="Standard"/>
    <w:rsid w:val="00B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B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B64F26"/>
    <w:rPr>
      <w:b/>
      <w:bCs/>
    </w:rPr>
  </w:style>
  <w:style w:type="character" w:styleId="Hervorhebung">
    <w:name w:val="Emphasis"/>
    <w:basedOn w:val="Absatz-Standardschriftart"/>
    <w:uiPriority w:val="20"/>
    <w:qFormat/>
    <w:rsid w:val="00B64F2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64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4F26"/>
    <w:rPr>
      <w:rFonts w:ascii="Times New Roman" w:eastAsia="Times New Roman" w:hAnsi="Times New Roman" w:cs="Times New Roman"/>
      <w:b/>
      <w:bCs/>
      <w:sz w:val="36"/>
      <w:szCs w:val="36"/>
      <w:lang w:eastAsia="de-DE" w:bidi="he-IL"/>
    </w:rPr>
  </w:style>
  <w:style w:type="character" w:styleId="Hyperlink">
    <w:name w:val="Hyperlink"/>
    <w:basedOn w:val="Absatz-Standardschriftart"/>
    <w:uiPriority w:val="99"/>
    <w:semiHidden/>
    <w:unhideWhenUsed/>
    <w:rsid w:val="00B64F26"/>
    <w:rPr>
      <w:color w:val="0000FF"/>
      <w:u w:val="single"/>
    </w:rPr>
  </w:style>
  <w:style w:type="paragraph" w:customStyle="1" w:styleId="prefix">
    <w:name w:val="prefix"/>
    <w:basedOn w:val="Standard"/>
    <w:rsid w:val="00B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paragraph" w:styleId="StandardWeb">
    <w:name w:val="Normal (Web)"/>
    <w:basedOn w:val="Standard"/>
    <w:uiPriority w:val="99"/>
    <w:semiHidden/>
    <w:unhideWhenUsed/>
    <w:rsid w:val="00B64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styleId="Fett">
    <w:name w:val="Strong"/>
    <w:basedOn w:val="Absatz-Standardschriftart"/>
    <w:uiPriority w:val="22"/>
    <w:qFormat/>
    <w:rsid w:val="00B64F26"/>
    <w:rPr>
      <w:b/>
      <w:bCs/>
    </w:rPr>
  </w:style>
  <w:style w:type="character" w:styleId="Hervorhebung">
    <w:name w:val="Emphasis"/>
    <w:basedOn w:val="Absatz-Standardschriftart"/>
    <w:uiPriority w:val="20"/>
    <w:qFormat/>
    <w:rsid w:val="00B64F2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7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Yuval_Noah_Harar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emeindehilfsbun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meindenetzwerk.de/wp-content/uploads/2022/07/aufbruch_2_202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tchute.com/video/ylYfZlDNSDF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D32E-C018-4C63-AEDB-BC8BC0EA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2577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Yuval Noah Harari – Prophet des antichristlichen Imperium</vt:lpstr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Yuval Noah Harari – Prophet des antichristlichen Imperium</dc:title>
  <dc:creator>Johann Hesse</dc:creator>
  <cp:lastModifiedBy>Me</cp:lastModifiedBy>
  <cp:revision>1</cp:revision>
  <dcterms:created xsi:type="dcterms:W3CDTF">2022-11-03T07:45:00Z</dcterms:created>
  <dcterms:modified xsi:type="dcterms:W3CDTF">2022-11-03T07:49:00Z</dcterms:modified>
</cp:coreProperties>
</file>