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2" w:rsidRPr="00F65552" w:rsidRDefault="00F65552" w:rsidP="00F65552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>Kann</w:t>
      </w:r>
      <w:r w:rsidR="00212C5A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>ein</w:t>
      </w:r>
      <w:r w:rsidR="00212C5A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>Christ</w:t>
      </w:r>
      <w:r w:rsidR="00212C5A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>sein</w:t>
      </w:r>
      <w:r w:rsidR="00212C5A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>Heil</w:t>
      </w:r>
      <w:r w:rsidR="00212C5A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  <w:lang w:eastAsia="de-DE"/>
        </w:rPr>
        <w:t>verlieren?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Problemstellung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namentlich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Testament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Bibelstellen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Heilsstand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oberflächlicher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Betrachtung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widersprechen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scheinen.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greife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exemplarisch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heraus;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Artikel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wichtige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anführen:</w:t>
      </w:r>
    </w:p>
    <w:p w:rsidR="00F65552" w:rsidRPr="00F65552" w:rsidRDefault="00212C5A" w:rsidP="00F65552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Johannes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27.28: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«Meine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Schafe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hören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meine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Stimme,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kenne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folgen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mir,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gebe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ihnen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ewige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Leben,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nimmermehr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umkommen,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niemand</w:t>
      </w:r>
      <w:r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wird</w:t>
      </w:r>
      <w:r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aus</w:t>
      </w:r>
      <w:r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meiner</w:t>
      </w:r>
      <w:r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Hand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reißen.»</w:t>
      </w:r>
    </w:p>
    <w:p w:rsidR="00F65552" w:rsidRPr="00F65552" w:rsidRDefault="00212C5A" w:rsidP="00F65552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Johannes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2.6: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«Eine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jede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Rebe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mir,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keine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Frucht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bringt,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wegnehmen;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(6:)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bleibt,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weggeworfen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Rebe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verdorrt,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man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sammelt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wirft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ins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Feuer,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müssen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brennen.»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scheinbare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Problem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läss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lösen,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Spannung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Ermutigung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Trost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einerseits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andererseits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genau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beachtet.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sorgfältigen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Abwägen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Verheißung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bzw.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erneuter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(Buße)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gelangen,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nötigen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Grundlagenfragen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kurz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beleuchten:</w:t>
      </w:r>
    </w:p>
    <w:p w:rsidR="00F65552" w:rsidRPr="00F65552" w:rsidRDefault="00F65552" w:rsidP="00F65552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I.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Von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Heilsgewißheit</w:t>
      </w:r>
      <w:proofErr w:type="spellEnd"/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zur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Vollendung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Grundsätzliche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Feststellung: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Heilsgewi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verstehen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Heilsbesitzes: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Beispiel: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gerecht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geworden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(aus)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Frieden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Christus.»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bezeugt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(mit)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«Sein»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«Haben»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betont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7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.)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1.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Grundlage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zum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Heil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bildet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Gottes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Heilshandeln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Christus: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Galater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4.5: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erfüllt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...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stellvertretendem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Opfer: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proofErr w:type="spellStart"/>
      <w:r w:rsidR="00212C5A">
        <w:rPr>
          <w:rFonts w:ascii="Verdana" w:eastAsia="Times New Roman" w:hAnsi="Verdana" w:cs="Times New Roman"/>
          <w:color w:val="000000"/>
          <w:lang w:eastAsia="de-DE"/>
        </w:rPr>
        <w:t>us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10.14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Auferstehung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Erhöhung: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3.4ff.;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25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Fürsprecherdienst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Heilshandeln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Zeugnis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Gehorsam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Christi: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8.9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Heilsgewißheit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göttlichen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Heilsplan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Errettung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3ff.)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vollbrachten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Versöhnung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geworden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7).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2.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Berufung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und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Erwählung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Matthäus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22,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14: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«Denn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viele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berufen,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wenige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auserwählt.»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Perspektive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Gleichnisses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königlichen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Hochzeit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Ergebnis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Erwählungsstellen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vorwegnehmend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seiten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Umkehr/Buße/Bekehrung)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angenommen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muß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annimmt,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gehört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Auserwählten,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ergehen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Mann,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Hochzeitskleid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bestehen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12.13).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Trotz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Himmelreich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wichtigsten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Erwählungsstellen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finden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3ff.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28-30.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läßt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aufgrund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Parallelen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folgende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Bereiche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aufgliedern: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tbl>
      <w:tblPr>
        <w:tblW w:w="490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1"/>
        <w:gridCol w:w="1081"/>
        <w:gridCol w:w="921"/>
        <w:gridCol w:w="2683"/>
      </w:tblGrid>
      <w:tr w:rsidR="00F65552" w:rsidRPr="00F65552" w:rsidTr="00212C5A">
        <w:trPr>
          <w:tblCellSpacing w:w="7" w:type="dxa"/>
          <w:jc w:val="center"/>
        </w:trPr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212C5A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Epheser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212C5A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Römer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8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andere</w:t>
            </w:r>
          </w:p>
        </w:tc>
      </w:tr>
      <w:tr w:rsidR="00F65552" w:rsidRPr="00F65552" w:rsidTr="00212C5A">
        <w:trPr>
          <w:tblCellSpacing w:w="7" w:type="dxa"/>
          <w:jc w:val="center"/>
        </w:trPr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Der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göttliche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Vorsatz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und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Heilswille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(Heilsplan)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"vor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Grundlegung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der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Welt"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3-4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28b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1.</w:t>
            </w:r>
            <w:r w:rsidR="00923CF9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Petrus </w:t>
            </w:r>
            <w:proofErr w:type="spellStart"/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>us</w:t>
            </w:r>
            <w:proofErr w:type="spellEnd"/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>, 2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0</w:t>
            </w:r>
          </w:p>
        </w:tc>
      </w:tr>
      <w:tr w:rsidR="00F65552" w:rsidRPr="00F65552" w:rsidTr="00212C5A">
        <w:trPr>
          <w:tblCellSpacing w:w="7" w:type="dxa"/>
          <w:jc w:val="center"/>
        </w:trPr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Das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Vorherwissen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(</w:t>
            </w:r>
            <w:proofErr w:type="spellStart"/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praescientia</w:t>
            </w:r>
            <w:proofErr w:type="spellEnd"/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)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und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Vorher-Erkennen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Gottes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---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29a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212C5A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Psalm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139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1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6</w:t>
            </w:r>
          </w:p>
        </w:tc>
      </w:tr>
      <w:tr w:rsidR="00F65552" w:rsidRPr="00F65552" w:rsidTr="00212C5A">
        <w:trPr>
          <w:tblCellSpacing w:w="7" w:type="dxa"/>
          <w:jc w:val="center"/>
        </w:trPr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Die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Vorherbestimmung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(</w:t>
            </w:r>
            <w:proofErr w:type="spellStart"/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praedestinatio</w:t>
            </w:r>
            <w:proofErr w:type="spellEnd"/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)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V.5.11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29b,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30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---</w:t>
            </w:r>
          </w:p>
        </w:tc>
      </w:tr>
      <w:tr w:rsidR="00F65552" w:rsidRPr="00F65552" w:rsidTr="00212C5A">
        <w:trPr>
          <w:tblCellSpacing w:w="7" w:type="dxa"/>
          <w:jc w:val="center"/>
        </w:trPr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Die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Selbstoffenbarung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Gottes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in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Jesu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Christus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"in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der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Fülle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der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Zeiten"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und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der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Heilsvollzug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V.7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32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212C5A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Galater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4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.5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Johannes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14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, 9 </w:t>
            </w:r>
          </w:p>
        </w:tc>
      </w:tr>
      <w:tr w:rsidR="00F65552" w:rsidRPr="00F65552" w:rsidTr="00212C5A">
        <w:trPr>
          <w:tblCellSpacing w:w="7" w:type="dxa"/>
          <w:jc w:val="center"/>
        </w:trPr>
        <w:tc>
          <w:tcPr>
            <w:tcW w:w="2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Die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Mitteilung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des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göttlichen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Willen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V.9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---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1.Tim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otheus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>, 4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  <w:t>1.Thess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lonicher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4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, 3 </w:t>
            </w:r>
            <w:r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  <w:t>u.a.m.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</w:p>
        </w:tc>
      </w:tr>
    </w:tbl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Zusammengefa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1ff: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lastRenderedPageBreak/>
        <w:t xml:space="preserve">Epheser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>
        <w:rPr>
          <w:rFonts w:ascii="Verdana" w:eastAsia="Times New Roman" w:hAnsi="Verdana" w:cs="Times New Roman"/>
          <w:color w:val="000000"/>
          <w:lang w:eastAsia="de-DE"/>
        </w:rPr>
        <w:t>, 1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welchem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Erben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bestimmt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wurden,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nachdem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vorherbestimmt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waren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Ratschluss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seines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Willens.»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3.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Gottes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Souveränität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und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Frage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Prädestination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Kurzer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dogmengeschichtlicher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Hinweis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Augustin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Calvin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Nachfolgern: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=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einiger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Verdammnis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=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doppelte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Prädestinationslehre.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gedankliche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Konstruktion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Bibel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gestützt.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biblische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Standpunkt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Einladung,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Heilswille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Heilstat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grundsätzlich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Titus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Grunde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verkündigte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Heilsbotschaft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ausnahmslos,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Missionsbefehl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macht: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gramStart"/>
      <w:r w:rsidRPr="00F65552">
        <w:rPr>
          <w:rFonts w:ascii="Verdana" w:eastAsia="Times New Roman" w:hAnsi="Verdana" w:cs="Times New Roman"/>
          <w:color w:val="000000"/>
          <w:lang w:eastAsia="de-DE"/>
        </w:rPr>
        <w:t>18ff.;</w:t>
      </w:r>
      <w:proofErr w:type="gram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Markus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15.16.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Hinweis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34.41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doppelte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Prädestinationslehre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gänzlich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unhaltbar;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einfache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Prädestination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nirgends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Heils-Determinismus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beschrieben.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212C5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4.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Heils-Ratschlu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ss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oder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«Dekrete»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Gottes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Heilshandeln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bereit,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erschaffen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(«vor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Grundlegung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Welt»: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20).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gehören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Vorhersehung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sprechen: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27.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Offenbarung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8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darf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niemals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verwechselt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einem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ewigen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Heils-Determinismus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einige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Auserwählte,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steht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Vorherwissen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allwissenden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Psalm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139</w:t>
      </w:r>
      <w:r>
        <w:rPr>
          <w:rFonts w:ascii="Verdana" w:eastAsia="Times New Roman" w:hAnsi="Verdana" w:cs="Times New Roman"/>
          <w:color w:val="000000"/>
          <w:lang w:eastAsia="de-DE"/>
        </w:rPr>
        <w:t>, 1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6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>
        <w:rPr>
          <w:rFonts w:ascii="Verdana" w:eastAsia="Times New Roman" w:hAnsi="Verdana" w:cs="Times New Roman"/>
          <w:color w:val="000000"/>
          <w:lang w:eastAsia="de-DE"/>
        </w:rPr>
        <w:t>, 9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.10).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Fragen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Prädestination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kurzen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Verstand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richtig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erfaßt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eingeordnet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vielen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geltenden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Heilswillen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würden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Unvermögen,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göttliche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Prädestination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Entscheidungsfreiheit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Nenner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bringen,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genauso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Calvin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Irrtum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doppelten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Prädestination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verfallen.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Vergleich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sämtlicher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Erwählungsstellen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Bekehrung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aufrufen,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dass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Vorherbestimmung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unabhängig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Entscheidung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vollzieht.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z.B.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, 8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5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begrenztes,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menschliches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Verständnis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deshalb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Tatsache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«Vorher-Wissens»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«Vorher-Sehens»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=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Vorsehung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fassen.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5.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vorlaufende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Gnade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abgrundtief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gramStart"/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mal</w:t>
      </w:r>
      <w:proofErr w:type="gram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«tot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Übertretungen»),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suchende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entgegen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Gleichnis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Schaf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Groschen,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Lukas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1-10);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Apostelgeschichte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Lydia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Philippi: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dass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achthaben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konnte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Paulus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gesprochen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wurde.»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wichtige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44.65.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vorlaufende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Augustin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erkannt.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vorlaufenden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folgt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voluntas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subsequens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nachfolgende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Wille)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Gleichnis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übertragen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würde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heißen: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vorlaufende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Selbsterkenntnis.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Schweinehirten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degradierte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versklavte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«Gnadenzug»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verschlossen,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innere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Einkehr,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Heimkehr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stattgefunden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Lukas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18ff.).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6.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Gnadenwahl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ewigen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gehört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Hinweis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Gnadenwahl.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zwingen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Natur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retten.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Erlösungsplan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Heilsvollzug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Kreuz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Auferstehung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verbinden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größten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Liebesangebot;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freiwilliges,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unfa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großes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Geschenk: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Gnadenwahl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Israels: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5. Mose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7.8a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Gnadenwahl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Testament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Juden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Heiden: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8.9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7.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Erwählung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und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persönliche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Verantwortung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Menschen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Erwählung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und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Berufung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(identisch):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«Darum,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Brüder,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befleißiget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festzumachen.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straucheln.»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14b;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Lukas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Berufung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als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Aktualisierung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göttlichen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Ratschlusses: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gerettet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Ruf,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Werken,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Ratschluss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Welt.»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2.Thess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c)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Berufene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(Gerufene)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nehmen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Ruf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(die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Einladung)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Gottes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und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sind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Erwählte: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Matthäus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22</w:t>
      </w:r>
      <w:r>
        <w:rPr>
          <w:rFonts w:ascii="Verdana" w:eastAsia="Times New Roman" w:hAnsi="Verdana" w:cs="Times New Roman"/>
          <w:color w:val="000000"/>
          <w:lang w:eastAsia="de-DE"/>
        </w:rPr>
        <w:t>, 1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4: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«Denn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viele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Berufene,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wenige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Auserwählte.»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Theologe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Donald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Guthrie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dass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diejenigen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Einladung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wirklich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annehmen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bzw.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angenommen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Gott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verfügt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nicht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über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Menschen;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handelt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aber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auch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nicht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ohne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Menschen: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gewesen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6.7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Vorsehung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Verantwortung: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Apostelgeschichte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27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2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4.31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«...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kommen».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37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«...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gewollt».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40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dass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hättet».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viele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aufnahmen,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Vollmacht,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Erwählte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sind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Gläubige: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4ff.;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Titus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f)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Gläubigen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werden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erst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nach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Annahme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Heils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als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Auserwählte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bezeichnet: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4.5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Brüder,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geliebt,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wissen,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dass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seid;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(5:)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Predigt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Evangeliums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...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».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6-10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Das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Ziel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Erwählung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ist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Umgestaltung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ins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Bild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Jesu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Christi: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8</w:t>
      </w:r>
      <w:r>
        <w:rPr>
          <w:rFonts w:ascii="Verdana" w:eastAsia="Times New Roman" w:hAnsi="Verdana" w:cs="Times New Roman"/>
          <w:color w:val="000000"/>
          <w:lang w:eastAsia="de-DE"/>
        </w:rPr>
        <w:t>, 2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9.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Achtung: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entscheidende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Etappe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ewigen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Ziel,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schon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Vollendung!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h)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Erwählung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und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Nachfolge: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brauchen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dringend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gegenseitige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9.11),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br/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lehrmäßige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13.15),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br/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wachstümliche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3.7;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br/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würdiges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Verhalten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1-6;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Kolosser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12-14)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br/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Festmachen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Erwählung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9-11).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erreicht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Philipper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13.14).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Glaubenskampf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Hilfe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bestehen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8.9;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24-27).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8.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bewahrt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Gläubigen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bewahrt: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proofErr w:type="spellStart"/>
      <w:r w:rsidR="00212C5A">
        <w:rPr>
          <w:rFonts w:ascii="Verdana" w:eastAsia="Times New Roman" w:hAnsi="Verdana" w:cs="Times New Roman"/>
          <w:color w:val="000000"/>
          <w:lang w:eastAsia="de-DE"/>
        </w:rPr>
        <w:t>us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Philipper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Judas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stärkt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16.17;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Kolosser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21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26.27;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bewahrender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Gebets-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Fürsprecherdienst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11.15;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2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lässt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16-18).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stärkt,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9.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Vollendung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Zusicherung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Vollendung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Galater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Titus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Jakobus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«Angeld»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(Pfand)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geschenkt: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Gottes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vollendendes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Handeln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Treue: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13-17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Versuchung: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Vergebung: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7b.9;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1.2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Ende: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8.9;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Geführtwerden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garantiert: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Philipper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c)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Aber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nicht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ohne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Hinweis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auf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persönliche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Verantwortung!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Allerdings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tritt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Vollendungsverheißungen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Hinweis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zutage: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45"/>
        <w:gridCol w:w="5007"/>
      </w:tblGrid>
      <w:tr w:rsidR="00F65552" w:rsidRPr="00F65552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>Gottes</w:t>
            </w:r>
            <w:r w:rsidR="00212C5A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>Zusage</w:t>
            </w:r>
            <w:r w:rsidR="00212C5A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>und</w:t>
            </w:r>
            <w:r w:rsidR="00212C5A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>Treue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>persönliche</w:t>
            </w:r>
            <w:r w:rsidR="00212C5A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 xml:space="preserve"> </w:t>
            </w:r>
            <w:r w:rsidRPr="00F65552">
              <w:rPr>
                <w:rFonts w:ascii="Verdana" w:eastAsia="Times New Roman" w:hAnsi="Verdana" w:cs="Times New Roman"/>
                <w:b/>
                <w:bCs/>
                <w:color w:val="000000"/>
                <w:lang w:eastAsia="de-DE"/>
              </w:rPr>
              <w:t>Verantwortung:</w:t>
            </w:r>
          </w:p>
        </w:tc>
      </w:tr>
      <w:tr w:rsidR="00F65552" w:rsidRPr="00F65552">
        <w:trPr>
          <w:tblCellSpacing w:w="7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212C5A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Philipper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6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Philipper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1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3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1. Korinther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8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.9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Hebräer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, 2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Epheser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1-4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</w:p>
        </w:tc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212C5A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Philipper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2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7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Philipper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1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1. Korinther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1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0a,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und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alle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Ermahnungen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im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1.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Korintherbrief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Hebräer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12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>, 1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-17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br/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Epheser </w:t>
            </w:r>
            <w:r w:rsidR="00F65552" w:rsidRPr="00F65552">
              <w:rPr>
                <w:rFonts w:ascii="Verdana" w:eastAsia="Times New Roman" w:hAnsi="Verdana" w:cs="Times New Roman"/>
                <w:color w:val="000000"/>
                <w:lang w:eastAsia="de-DE"/>
              </w:rPr>
              <w:t>4-6</w:t>
            </w:r>
            <w:r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</w:p>
        </w:tc>
      </w:tr>
      <w:tr w:rsidR="00F65552" w:rsidRPr="00F65552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552" w:rsidRPr="00F65552" w:rsidRDefault="00F65552" w:rsidP="00F6555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de-DE"/>
              </w:rPr>
            </w:pPr>
            <w:r w:rsidRPr="00F65552">
              <w:rPr>
                <w:rFonts w:ascii="Times New Roman" w:eastAsia="Times New Roman" w:hAnsi="Times New Roman" w:cs="Times New Roman"/>
                <w:color w:val="000000"/>
                <w:lang w:eastAsia="de-DE"/>
              </w:rPr>
              <w:t>etc.</w:t>
            </w:r>
            <w:r w:rsidR="00212C5A">
              <w:rPr>
                <w:rFonts w:ascii="Verdana" w:eastAsia="Times New Roman" w:hAnsi="Verdana" w:cs="Times New Roman"/>
                <w:color w:val="000000"/>
                <w:lang w:eastAsia="de-DE"/>
              </w:rPr>
              <w:t xml:space="preserve"> </w:t>
            </w:r>
          </w:p>
        </w:tc>
      </w:tr>
    </w:tbl>
    <w:p w:rsidR="00F65552" w:rsidRPr="00F65552" w:rsidRDefault="00F65552" w:rsidP="00F65552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10.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Stellen,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scheinbar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von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Unverlierbarkeit</w:t>
      </w:r>
      <w:proofErr w:type="spellEnd"/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ewigen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Lebens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sprechen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30: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Guthrie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gerichtet,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angenommen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Paulus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spricht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darüber,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geschieht,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göttlichen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Erlösungsplan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ablehnen.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Grayston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Antwort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Frage,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erreichen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prädeterminiert.»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gereuen.»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spricht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eindeutig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Plan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Israe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l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Heilsordnung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Christen.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37.39: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«Alles,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Vater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hinausstoßen.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(39:)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dessen,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gesandt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verliere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allem,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ich's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auferwecke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Jüngsten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Tage.»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große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Verheißung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spricht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Vollendung)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Auflehnung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durchkreuzt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wird!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5-10;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viele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Heilsstand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Wiedergeburt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Vollendung.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Vater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bitten,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Tröster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(Beistand)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Ewigkeit.»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überwältigend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Pfingsten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Tatsache,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bleibt,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wohnt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immer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sogar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Vater: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10.11;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Kolosser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Galater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28: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dritter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Seite-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vermag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reißen!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wunderbar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38.39: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Zusammenfassung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göttlichen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Bewahrungsverheißungen,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reichen;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Text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37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Engagement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(Überwinder-Sein)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angesprochen.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24: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Endgericht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Preisrichterthron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Rede.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Heilige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Schrift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zeigt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folgenden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Befund: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Heilsgewißheit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Heilsfreude,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Gottesverheißungen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Allmacht,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nirgends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einseitige,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automatische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selbstverständliche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Heilssicherheit,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unabhängig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Lassen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Reinigung: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unabänderlich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begriffen,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schaltet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Wechsel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Heilsindikativ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(z.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Heilsimperativ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genannten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bestätigt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Unverlierbarkeit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Heils.</w:t>
      </w:r>
    </w:p>
    <w:p w:rsidR="00F65552" w:rsidRPr="00F65552" w:rsidRDefault="00F65552" w:rsidP="00F65552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II.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Kurzer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Hinweis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auf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Ermahnung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im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Neuen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Testament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ermahnenden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Teile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neutestamentlichen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Briefe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bereits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hingewiesen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1.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Tatsache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Ermahnung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bilden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wesentliches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Element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neutestamentlichen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Gemeindebaus.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Apostelgeschichte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(Barnabas/V.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hingekommen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Antiochien/V.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froh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bleiben.»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Apostelgeschichte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Kolosser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ff.;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Konkordanz)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Hebräerbrief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unbekannten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Verfasser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bezeichnet,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2.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Inhalt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Ermahnung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Bleiben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4-10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«bleiben»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gramStart"/>
      <w:r w:rsidRPr="00F65552">
        <w:rPr>
          <w:rFonts w:ascii="Verdana" w:eastAsia="Times New Roman" w:hAnsi="Verdana" w:cs="Times New Roman"/>
          <w:color w:val="000000"/>
          <w:lang w:eastAsia="de-DE"/>
        </w:rPr>
        <w:t>11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mal</w:t>
      </w:r>
      <w:proofErr w:type="gramEnd"/>
      <w:r w:rsidRPr="00F65552">
        <w:rPr>
          <w:rFonts w:ascii="Verdana" w:eastAsia="Times New Roman" w:hAnsi="Verdana" w:cs="Times New Roman"/>
          <w:color w:val="000000"/>
          <w:lang w:eastAsia="de-DE"/>
        </w:rPr>
        <w:t>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24.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Besonders: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«bleiben»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bookmarkStart w:id="0" w:name="_GoBack"/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bookmarkEnd w:id="0"/>
      <w:r w:rsidRPr="00F65552">
        <w:rPr>
          <w:rFonts w:ascii="Verdana" w:eastAsia="Times New Roman" w:hAnsi="Verdana" w:cs="Times New Roman"/>
          <w:color w:val="000000"/>
          <w:lang w:eastAsia="de-DE"/>
        </w:rPr>
        <w:t>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4-17)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«bleiben»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Apostelgeschichte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Kolosser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23).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Trennen,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fliehen: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14-17;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2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Welt):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15-17.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Gottes):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Lukas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28.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hüten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Irrlehre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Verführung):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Einhalten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Gebote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Gottes):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Festhalten;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umgürten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beachten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stärken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handeln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kämpfen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Konkordanz).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rufen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gewaltige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Geschenk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Praxis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Alltags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Anwendung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bringen.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Wachsamkeit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vertieft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Blick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wiederkommenden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28).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3.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Grund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für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vielen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Ermahnungen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Verschiedene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Gefahren: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5-17;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Jakobus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Irrlehre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Verfolgung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Thessalonicher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3-5),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eigene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Müdigkeit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Trägheit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Galater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7-9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(dieses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gerichtet!)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Fruchtlosigkeit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Lauheit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14ff.),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Rückfall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Galater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16-21;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Jakobus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4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).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4.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Herr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will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unseren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Gehorsam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14-16: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gehorsame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Begierden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früher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Unwissenheit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dientet,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(15:)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berufen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eurem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Wandel.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(16:)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geschrieben: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Ungehorsam,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unbereinigte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erneutes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Verharren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innere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Verhärtung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Schritte,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Apostasie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Zusammenfassung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ständiger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Gefahr.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groß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genug,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Deshalb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aufgefordert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ständiger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Lebensbereinigung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mindestens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aufgefordert,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wäre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verkehrt,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Akzent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geforderte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Selbstreinigung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legen;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ebenso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verkehrt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Einstellung,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Wachstum,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Umgestaltung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Nachfolge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alleinige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Aufgabe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menschliches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Dazutun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vollziehe.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Wohlverstanden: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Frage,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etwas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Erlösung)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hinzutun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müssten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gänzlich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unmöglich!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Hingegen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Testament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Bleiben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Wachstum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Nachfolge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betreffen,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Zweifaches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beachten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(Wachstum)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Geschenk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vollzogen;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ebenso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Verantwortungsbereich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gestellt.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Gerade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sorgfältiges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Beachten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biblischen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«Spannung»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Geschenk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gramStart"/>
      <w:r w:rsidRPr="00F65552">
        <w:rPr>
          <w:rFonts w:ascii="Verdana" w:eastAsia="Times New Roman" w:hAnsi="Verdana" w:cs="Times New Roman"/>
          <w:color w:val="000000"/>
          <w:lang w:eastAsia="de-DE"/>
        </w:rPr>
        <w:t>Indikativs</w:t>
      </w:r>
      <w:proofErr w:type="gram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Imperativ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Personalität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Wiedergeburt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gewahrt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bleibt.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soweit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voranschreiten,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Einverständnis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Wo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Wirken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abgeblockt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Lauheit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erneut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1.14ff.).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einseitig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Wirken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betont,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biblische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Tiefendimension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richtig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erfassen.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Beispiel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wäre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Befehlsform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«Bleibet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mir»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rhetorische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Aufforderung,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undenkbar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wäre,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organisch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Weinstock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verwachsene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Rebschoß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einmal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Weinstock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abgetrennt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könnte,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genau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Lehrmeinung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Unverlierbarkeit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irrtümlicherweise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ausgeschlossen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hält,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erschütternde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Möglichkeit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lassen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Zweifel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darüber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offen,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bestimmten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Umständen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abfallen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verlorengehen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genauso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17-24,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Römerstelle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offenbar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«Abgefallene»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gewissen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Grad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Rückkehr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offen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Tatsache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(Aufruf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erneuten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Sendschreiben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ersichtlich;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Schrift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irgendwo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Grenze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liegt,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Grenze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überschritten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zurückkehrt,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III.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Apostasie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1.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Warnung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vor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dem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Abfall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denke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daran,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abgefallen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(tue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Buße)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Werke!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Leuchter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wegstoßen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(Buße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tust).»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ebenso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2.3.19.20.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2.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will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niemals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unseren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Abfall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12-14: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«Sehet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Brüder,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böses,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ungläubiges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abfällt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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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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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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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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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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apostenai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lebendigen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(13:)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Tage,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solange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'heute'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heißt,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verstockt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Betrug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(14:)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Teilhaber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geworden,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Anfang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festhalten.»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ferner: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1-14;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12-19;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20ff.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3.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braucht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Erziehungswege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(«Züchtigung»),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um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Gläubigen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vor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dem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Abfall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zu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bewahren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-17: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«Darum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Wolke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Zeugen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lasset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ablegen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beschwert,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ständig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umstrickt,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lasset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laufen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Geduld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Kampf,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verordnet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aufsehen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Anfänger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welcher,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Freude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erduldete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Kreuz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achtete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Schande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gesetzt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Thrones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(3:)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Gedenket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Widersprechen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erduldet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eurem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ablasset.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(4:)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widerstanden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Kampf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(5:)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bereits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vergessen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Trostes,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redet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Sprüche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11.12):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«Mein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achte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gering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Züchtigung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verzage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gestraft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wirst.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(6:)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züchtigt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straft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jeglichen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aufnimmt.»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(7:)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erzieht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dulden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müßt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!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begegnet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Vater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züchtigt?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(8:)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Züchtigung,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erfahren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Ausgestoßene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Kinder.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(9:)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leiblichen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Väter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Züchtigern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gehabt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gescheut,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sollten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untertan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Vater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leben?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(10:)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gezüchtigt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Tage,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dünkte,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Besten,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erlangen.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(11:)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Züchtigung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dünkt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Freude,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Traurigkeit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friedsame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Frucht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Gerechtigkeit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geübt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(12:)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Darum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richtet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lässigen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müden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Knie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(13:)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gewisse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Tritte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Füßen,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strauchle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Lahmer,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vielmehr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(14:)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Jaget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Frieden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jedermann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(15:)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sehet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darauf,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versäume;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etwa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bittere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Wurzel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aufwachse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Unfrieden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anrichte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befleckt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(16:)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Abtrünniger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Gottloser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Esau,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Speise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Erstgeburt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verkaufte.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(17:)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wisset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ja,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hernach,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ererben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wollte,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verworfen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ward;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Raum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Buße,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wiewohl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Tränen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suchte.»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4.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Vorstufen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Apostasie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Missachtung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Lehre: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«Darum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desto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hören,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Ziel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vorbeitreiben.»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Verhärtung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Herzens: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oben).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Professor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Hoffmann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schrieb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«Verstockung»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Hebräerbrief-Auslegung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Fundamentum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4/81,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19: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verhärten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bedeutet,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dauerndes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Widerstreben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Anspruch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Zuspruch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unempfindlich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gegenüber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Wirken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abgestumpft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ist.»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5.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Gottes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Langmut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Verführerin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Isebel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Thyatira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br/>
        <w:t>«Ich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Buße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bekehren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Hurerei.»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21).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Satzteil: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gegeben»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erinnert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geschrieben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steht: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verachtest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Reichtum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Güte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Geduld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Langmut?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Weißt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Güte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(Buße)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leitet?»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kurzen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Hinweis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ersichtlich,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endgültige,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irreversible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Abfall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lauen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Moment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anderen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vollzieht.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fortschreitender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Verhärtung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Herzens,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Stufe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Stufe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tiefer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innerlich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immer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tragischen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Phase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Abgleitens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(«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backsliding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»)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klar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Stehenden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«Barrieren»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rückrufenden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Umkehr-Rufe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Sendschreiben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2.3.18-20)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sowie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siebenfache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«Überwinder»-Verheißung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Ansporn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7.11.17.26-28;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5.12.21)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Liebesrufe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langmütigen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Gottes.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«Warnschilder»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Ermahnungs-Abschnitten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teuer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erkauftes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Eigentum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20)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billig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loslä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Ringen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Apostel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Festbleiben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Gemeindeglieder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Zeugnis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ablegen,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etwas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tiefen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Situation;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1-4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(13-15).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Fehltritte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Glaubensleben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Apostasie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Galater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m.);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Verharren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schrecklichen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Ergebnis,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Schrift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Beschönigung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verschweigen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aufzeigt.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6.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irreversible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Schritt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in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den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endgültigen</w:t>
      </w:r>
      <w:r w:rsidR="00212C5A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i/>
          <w:iCs/>
          <w:color w:val="000000"/>
          <w:sz w:val="26"/>
          <w:szCs w:val="26"/>
          <w:lang w:eastAsia="de-DE"/>
        </w:rPr>
        <w:t>Abfall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3-4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Parallelen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gerechnet)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Neuen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Testament,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tragische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Grenzüberschreitung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Apostasie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bezeugen: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a)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1.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5,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16.17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im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Zusammenhang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mit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12,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31.32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(Parallelen)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16.17: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jemand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Bruder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(präs.pt.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=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durativ)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bitten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Futur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Imperativs),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(das)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sündigen,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(aber)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bezüglich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bitte.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(17:)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Ungerechtigkeit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Tode.»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Matthäus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31.32b: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«Deshalb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sage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euch: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Jede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Lästerung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vergeben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werden,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Lästerung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(gegen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Geist)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...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(32b:)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Zeitalter,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kommenden.»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Ich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fasse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kurz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wichtigsten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Punkte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zusammen: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Bruder)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begehen;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Textzusammenhang.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Inhalt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beschrieben;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Tatbestand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gravierend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Mitbrüder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Unterschied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Mühe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erkennen.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Tode»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unvergebbar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Fürbitte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Menschen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verwehrt.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«Tod»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unmöglich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physische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sein.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Parallele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16.17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erwähnen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«Lästerung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31.32;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Markus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Lukas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Ewigkeit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Gaugler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Vergleich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31.32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Abwehr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handelt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Lästerung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israelitischen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besseres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Wissen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Kampf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dämonische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göttlichen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bekämpft,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dämonische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Mächte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zurückführt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...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offensichtlich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Brüder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gedacht,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ausgeben,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begehen,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eindeutig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Verlust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empfangenen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Abschnürung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führen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unheimlichere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Verführermacht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Brüder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gedacht,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Schwäche,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Angst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Verfolgung,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vermessener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Verleugnung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gekommenen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selbst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Gefahr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bringen.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scharf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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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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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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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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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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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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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antichristoi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identifizieren.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Entscheidungskampf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letzte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Briefes,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geradezu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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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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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</w:t>
      </w:r>
      <w:r w:rsidRPr="00F65552">
        <w:rPr>
          <w:rFonts w:ascii="Symbol" w:eastAsia="Times New Roman" w:hAnsi="Symbol" w:cs="Times New Roman"/>
          <w:color w:val="000000"/>
          <w:sz w:val="27"/>
          <w:szCs w:val="27"/>
          <w:lang w:eastAsia="de-DE"/>
        </w:rPr>
        <w:t>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eidola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(Götzen)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warnt,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gehört.»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b)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6,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4-8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t xml:space="preserve">Hebräer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4-6: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«Denn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unmöglich,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diejenigen,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einmal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erleuchtet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worden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himmmlische</w:t>
      </w:r>
      <w:proofErr w:type="spellEnd"/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Gabe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geschmeckt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teilhaftig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geworden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(5:)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gute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Wort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Kräfte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zukünftigen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Zeitalters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geschmeckt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(6:)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(doch)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abgefallen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sind,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Buße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erneuern,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Sohn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kreuzigen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Spott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aussetzen.»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Beschriebenen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Christen: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erleuchtet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himmlische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geschmeckt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15)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teilhaftig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geworden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gramStart"/>
      <w:r w:rsidRPr="00F65552">
        <w:rPr>
          <w:rFonts w:ascii="Verdana" w:eastAsia="Times New Roman" w:hAnsi="Verdana" w:cs="Times New Roman"/>
          <w:color w:val="000000"/>
          <w:lang w:eastAsia="de-DE"/>
        </w:rPr>
        <w:t>13f.;</w:t>
      </w:r>
      <w:proofErr w:type="gram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21.22;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Apostelgeschichte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38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[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4])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drei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Aussagen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zwei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weiteren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wären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Blick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Mitläufer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Namenschristen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absolut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undenkbar.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Erneuerung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Abfall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unmöglich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4a),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kreuzigen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preisgeben»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(6b).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heißt,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Pervertierung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Allerheiligsten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stattgefunden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Opfer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Kot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getreten.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Merkmale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Apostaten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Lästerung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angelangt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umkehren.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</w:pP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c)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10,</w:t>
      </w:r>
      <w:r w:rsidR="00212C5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26-31</w:t>
      </w:r>
    </w:p>
    <w:p w:rsidR="00F65552" w:rsidRPr="00F65552" w:rsidRDefault="00212C5A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lastRenderedPageBreak/>
        <w:t xml:space="preserve">Hebräer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26-31: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«Denn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mutwillig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sündigen,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nachdem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Erkenntnis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Wahrheit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empfangen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haben,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hinfort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kein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anderes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Opfer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Sünden,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(27:)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bleibt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nichts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schreckliches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Warten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Gericht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gierige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Feuer,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Widersacher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verzehren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wird.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(28:)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jemand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Gesetz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Mose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bricht,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muß</w:t>
      </w:r>
      <w:proofErr w:type="spellEnd"/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sterben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ohne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Barmherzigkeit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zwei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oder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drei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Zeugen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hin.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(29:)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Wieviel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ärgere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Strafe,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meinet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ihr,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verdienen,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Sohn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Füßen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tritt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Bundes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unrein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achtet,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welches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doch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geheiligt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wurde,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schmäht?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(30:)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kennen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gesagt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hat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(5.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Mose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32,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35.36):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'Die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Rache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mein,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will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vergelten',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abermals: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'Der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Herr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sein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Volk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richten.'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(31:)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Schrecklich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ist's,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Hände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lebendigen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F65552" w:rsidRPr="00F65552">
        <w:rPr>
          <w:rFonts w:ascii="Verdana" w:eastAsia="Times New Roman" w:hAnsi="Verdana" w:cs="Times New Roman"/>
          <w:color w:val="000000"/>
          <w:lang w:eastAsia="de-DE"/>
        </w:rPr>
        <w:t>fallen.»</w:t>
      </w:r>
      <w:r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Beschriebene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26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Erkenntnis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Wahrheit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erlangt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Titus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Besitz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Erkenntnis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Wahrheit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gehört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wurde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geheiligt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Bundes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14.15;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Kennzeichen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Besitz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. Timotheus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22).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eindeutig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Besitz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Textzusammenhang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nahe.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212C5A" w:rsidRPr="00F65552">
        <w:rPr>
          <w:rFonts w:ascii="Verdana" w:eastAsia="Times New Roman" w:hAnsi="Verdana" w:cs="Times New Roman"/>
          <w:color w:val="000000"/>
          <w:lang w:eastAsia="de-DE"/>
        </w:rPr>
        <w:t>Schlussfolgerung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nachvollziehen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eindeutigen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Zeugnisse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(Besitz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Erkenntnis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Wahrheit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verwiesen.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Kennzeichen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Abfalles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26-31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Sohn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Füßen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getreten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verachtet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verraten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Unwillkürlich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Bild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Judas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Ischarioth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18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Psalm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Zusammenhang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äußerst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wichtige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Stelle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Judas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verantwortlich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Bundes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gemein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(unrein)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geachtet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handelt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entwertende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Verachtung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Schmähung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teuren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Christi.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höchst-bezahlte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Loskaufpreis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="00923CF9">
        <w:rPr>
          <w:rFonts w:ascii="Verdana" w:eastAsia="Times New Roman" w:hAnsi="Verdana" w:cs="Times New Roman"/>
          <w:color w:val="000000"/>
          <w:lang w:eastAsia="de-DE"/>
        </w:rPr>
        <w:t xml:space="preserve">Petrus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18.19;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20a)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profaniert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erlösende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Kraft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verleugnet.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Gnade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geschmäht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29).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sind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Lästerung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Matthäus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31.32!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(Vgl.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oben).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mutwillige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(Vers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26).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mutwillige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verwechseln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besonders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gefährdeten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«Schwachstelle»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Gläubigen,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Feind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leider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Fall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gebracht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(Gedankensünden,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Lieblosigkeit,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Zorn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usw.).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Gestrauchelte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sofort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bereut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bekennt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erneut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immer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reinigen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läßt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durch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Johannes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7b),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Hilfe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zuteil.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Viele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Schwache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Fehltritte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Leidtragende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meinten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schon,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«mutwillig»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gesündigt,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jetzt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Vergebung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zuteil;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gerade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Reue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begangenen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Kennzeichen,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mutwillige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2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6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vorliegt.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mutwillige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vorsätzliche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geschieht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provokativ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Sinne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3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wissen,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verdienen;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allein,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Gefallen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tun.»</w:t>
      </w:r>
    </w:p>
    <w:p w:rsidR="00F65552" w:rsidRPr="00F65552" w:rsidRDefault="00F65552" w:rsidP="00212C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oben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gesagt,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Verharren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Verstockung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Herzens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Stationen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endgültigen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Abfall.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Deshalb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Verkündigung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immer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deutlich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gewarnt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dieser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leichtfertigen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Haltung.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aufwecken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lä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ss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Sündenschlaf,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verfällt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ewigen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Tod.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Umkehr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unmöglich.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26-31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beschriebene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Weise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Abgefallener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Spötter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geworden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wartet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nach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27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noch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unausweichliche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Gericht: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«Schrecklich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ist's,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lebendigen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fallen.»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</w:pPr>
      <w:proofErr w:type="spellStart"/>
      <w:r w:rsidRPr="00F65552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de-DE"/>
        </w:rPr>
        <w:t>Schlußwort</w:t>
      </w:r>
      <w:proofErr w:type="spellEnd"/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Schrift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zeigt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ganzen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Ernst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Tatsache,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wiedergeborener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verlorengehen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kann: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Unvollkommenheit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Erlösungswerkes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Christi;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mangelnder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bewahrende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schwächer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wäre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Satans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Verführungsmacht;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persönlicher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Schwachheiten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(1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. Korinther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10,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13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>, 1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4-16).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verloren,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«fleischlichen»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Christsein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verharrt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Römer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8,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5ff.);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verstockt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Mahnen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Schweigen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bringt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Epheser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4,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30;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m.);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wieder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Herzen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muß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Offenbarung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3,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20);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-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wenn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heimsuchende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verachtet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Spötter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Verführer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wird,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unvergebbare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Lästerung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Heiligen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begeht.</w:t>
      </w: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lastRenderedPageBreak/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Schärfe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Aussagen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über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Abfall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läßt</w:t>
      </w:r>
      <w:proofErr w:type="spellEnd"/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leugnen;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Hauptgegenstand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biblischen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Ermahnungslehren,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deshalb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wollen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Hinweis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mögliche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Apostasie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schließen,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sondern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unseren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Blick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richten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liebevolle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Ermahnung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Hebräerbriefschreibers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annehmen,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Auftrag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weitergibt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heute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gilt:</w:t>
      </w:r>
    </w:p>
    <w:p w:rsidR="00F65552" w:rsidRPr="00F65552" w:rsidRDefault="00F65552" w:rsidP="00F65552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«Darum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weil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wir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eine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solche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Wolke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Zeugen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lasset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ablegen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beschwert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Sünde,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die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ständig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umstrickt,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lasset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laufen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Geduld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Kampf,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verordnet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ist,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(2)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aufsehen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Jesus,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Anfänger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Vollender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Glaubens,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welcher,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wohl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hätte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können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Freude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haben,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erduldete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das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Kreuz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achtete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Schande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gesetzt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zur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Rechten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Thrones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Gottes.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(3)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Gedenket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an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den,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der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ein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solches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Widersprechen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von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den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Sündern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wider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sich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b/>
          <w:bCs/>
          <w:color w:val="000000"/>
          <w:lang w:eastAsia="de-DE"/>
        </w:rPr>
        <w:t>erduldet</w:t>
      </w:r>
      <w:r w:rsidR="00212C5A">
        <w:rPr>
          <w:rFonts w:ascii="Verdana" w:eastAsia="Times New Roman" w:hAnsi="Verdana" w:cs="Times New Roman"/>
          <w:b/>
          <w:bCs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hat,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auf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dass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ihr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matt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werdet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und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nicht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in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eurem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Mut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ablasset.»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(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Hebräer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12,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1-3)</w:t>
      </w:r>
    </w:p>
    <w:p w:rsidR="00F65552" w:rsidRPr="00F65552" w:rsidRDefault="00F65552" w:rsidP="00F6555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</w:p>
    <w:p w:rsidR="00F65552" w:rsidRPr="00F65552" w:rsidRDefault="00F65552" w:rsidP="00F6555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lang w:eastAsia="de-DE"/>
        </w:rPr>
        <w:t>©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1988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Prof.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Dr.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Erich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lang w:eastAsia="de-DE"/>
        </w:rPr>
        <w:t>Mauerhofer</w:t>
      </w:r>
      <w:proofErr w:type="spellEnd"/>
      <w:r w:rsidRPr="00F65552">
        <w:rPr>
          <w:rFonts w:ascii="Verdana" w:eastAsia="Times New Roman" w:hAnsi="Verdana" w:cs="Times New Roman"/>
          <w:color w:val="000000"/>
          <w:lang w:eastAsia="de-DE"/>
        </w:rPr>
        <w:t>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Alle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Rechte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lang w:eastAsia="de-DE"/>
        </w:rPr>
        <w:t>vorbehalten.</w:t>
      </w:r>
      <w:r w:rsidR="00212C5A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</w:p>
    <w:p w:rsidR="00F65552" w:rsidRPr="00F65552" w:rsidRDefault="00F65552" w:rsidP="00F65552">
      <w:pPr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|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hyperlink r:id="rId5" w:anchor="Textbeginn" w:history="1">
        <w:r w:rsidRPr="00F65552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>zum</w:t>
        </w:r>
        <w:r w:rsidR="00212C5A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 xml:space="preserve"> </w:t>
        </w:r>
        <w:r w:rsidRPr="00F65552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>Textbeginn</w:t>
        </w:r>
      </w:hyperlink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|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</w:p>
    <w:p w:rsidR="00F65552" w:rsidRPr="00F65552" w:rsidRDefault="00923CF9" w:rsidP="00F655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pict>
          <v:rect id="_x0000_i1025" style="width:0;height:.75pt" o:hralign="center" o:hrstd="t" o:hrnoshade="t" o:hr="t" fillcolor="#a0a0a0" stroked="f"/>
        </w:pict>
      </w:r>
    </w:p>
    <w:p w:rsidR="00F65552" w:rsidRPr="00F65552" w:rsidRDefault="00F65552" w:rsidP="00F655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de-DE"/>
        </w:rPr>
      </w:pP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Copyright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(C)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1988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by</w:t>
      </w:r>
      <w:proofErr w:type="spellEnd"/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Dr.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Erich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proofErr w:type="spellStart"/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Mauerhofer</w:t>
      </w:r>
      <w:proofErr w:type="spellEnd"/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.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br/>
        <w:t>Alle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Rechte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vorbehalten.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Veröffentlichung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mit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freundlicher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Genehmigung.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br/>
        <w:t>Dieses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Papier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ist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ausschließlich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für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den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persönlichen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Gebrauch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bestimmt.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br/>
        <w:t>URL: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http://www.efg-hohenstaufenstr.de/downloads/bibel/heilssorge.html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br/>
        <w:t>Ins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Netz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gesetzt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am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28.12.2001;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letzte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Änderung: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08.01.2011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br/>
      </w:r>
      <w:hyperlink r:id="rId6" w:history="1">
        <w:r w:rsidRPr="00F65552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>Home</w:t>
        </w:r>
      </w:hyperlink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|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hyperlink r:id="rId7" w:history="1">
        <w:r w:rsidRPr="00F65552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>Links</w:t>
        </w:r>
      </w:hyperlink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|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hyperlink r:id="rId8" w:history="1">
        <w:r w:rsidRPr="00F65552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>Downloads</w:t>
        </w:r>
      </w:hyperlink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|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hyperlink r:id="rId9" w:history="1">
        <w:r w:rsidRPr="00F65552">
          <w:rPr>
            <w:rFonts w:ascii="Times New Roman" w:eastAsia="Times New Roman" w:hAnsi="Times New Roman" w:cs="Times New Roman"/>
            <w:color w:val="0000EE"/>
            <w:sz w:val="15"/>
            <w:u w:val="single"/>
            <w:lang w:eastAsia="de-DE"/>
          </w:rPr>
          <w:t>Webmaster</w:t>
        </w:r>
      </w:hyperlink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  <w:r w:rsidRPr="00F65552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>|</w:t>
      </w:r>
      <w:r w:rsidR="00212C5A">
        <w:rPr>
          <w:rFonts w:ascii="Verdana" w:eastAsia="Times New Roman" w:hAnsi="Verdana" w:cs="Times New Roman"/>
          <w:color w:val="000000"/>
          <w:sz w:val="15"/>
          <w:szCs w:val="15"/>
          <w:lang w:eastAsia="de-DE"/>
        </w:rPr>
        <w:t xml:space="preserve"> </w:t>
      </w:r>
    </w:p>
    <w:p w:rsidR="00F65552" w:rsidRPr="00F65552" w:rsidRDefault="00923CF9" w:rsidP="00F65552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de-DE"/>
        </w:rPr>
      </w:pPr>
      <w:r>
        <w:rPr>
          <w:rFonts w:ascii="Verdana" w:eastAsia="Times New Roman" w:hAnsi="Verdana" w:cs="Times New Roman"/>
          <w:color w:val="000000"/>
          <w:lang w:eastAsia="de-DE"/>
        </w:rPr>
        <w:pict>
          <v:rect id="_x0000_i1026" style="width:0;height:.75pt" o:hralign="center" o:hrstd="t" o:hrnoshade="t" o:hr="t" fillcolor="#a0a0a0" stroked="f"/>
        </w:pict>
      </w:r>
    </w:p>
    <w:p w:rsidR="004B78D2" w:rsidRDefault="004B78D2"/>
    <w:sectPr w:rsidR="004B78D2" w:rsidSect="004B7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5552"/>
    <w:rsid w:val="00212C5A"/>
    <w:rsid w:val="004B78D2"/>
    <w:rsid w:val="00923CF9"/>
    <w:rsid w:val="00F6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§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8D2"/>
  </w:style>
  <w:style w:type="paragraph" w:styleId="berschrift1">
    <w:name w:val="heading 1"/>
    <w:basedOn w:val="Standard"/>
    <w:link w:val="berschrift1Zchn"/>
    <w:uiPriority w:val="9"/>
    <w:qFormat/>
    <w:rsid w:val="00F65552"/>
    <w:pPr>
      <w:spacing w:before="100" w:beforeAutospacing="1" w:after="100" w:afterAutospacing="1" w:line="240" w:lineRule="auto"/>
      <w:jc w:val="center"/>
      <w:outlineLvl w:val="0"/>
    </w:pPr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F6555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F65552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i/>
      <w:iCs/>
      <w:color w:val="000000"/>
      <w:sz w:val="26"/>
      <w:szCs w:val="2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F65552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5552"/>
    <w:rPr>
      <w:rFonts w:ascii="Verdana" w:eastAsia="Times New Roman" w:hAnsi="Verdana" w:cs="Times New Roman"/>
      <w:b/>
      <w:bCs/>
      <w:color w:val="000000"/>
      <w:kern w:val="36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5552"/>
    <w:rPr>
      <w:rFonts w:ascii="Verdana" w:eastAsia="Times New Roman" w:hAnsi="Verdana" w:cs="Times New Roman"/>
      <w:b/>
      <w:bCs/>
      <w:color w:val="000000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5552"/>
    <w:rPr>
      <w:rFonts w:ascii="Verdana" w:eastAsia="Times New Roman" w:hAnsi="Verdana" w:cs="Times New Roman"/>
      <w:b/>
      <w:bCs/>
      <w:i/>
      <w:iCs/>
      <w:color w:val="000000"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65552"/>
    <w:rPr>
      <w:rFonts w:ascii="Verdana" w:eastAsia="Times New Roman" w:hAnsi="Verdana" w:cs="Times New Roman"/>
      <w:b/>
      <w:bCs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65552"/>
    <w:rPr>
      <w:color w:val="0000EE"/>
      <w:u w:val="single"/>
    </w:rPr>
  </w:style>
  <w:style w:type="paragraph" w:styleId="StandardWeb">
    <w:name w:val="Normal (Web)"/>
    <w:basedOn w:val="Standard"/>
    <w:uiPriority w:val="99"/>
    <w:unhideWhenUsed/>
    <w:rsid w:val="00F6555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g-hohenstaufenstr.de/downloads/d-menu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fg-hohenstaufenstr.de/links/link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fg-hohenstaufenstr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fg-hohenstaufenstr.de/downloads/bibel/heilssorg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master@efg-hohenstaufenstr.de?subject=Downloads-Heilssorg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5155</Words>
  <Characters>32483</Characters>
  <Application>Microsoft Office Word</Application>
  <DocSecurity>0</DocSecurity>
  <Lines>270</Lines>
  <Paragraphs>75</Paragraphs>
  <ScaleCrop>false</ScaleCrop>
  <Company/>
  <LinksUpToDate>false</LinksUpToDate>
  <CharactersWithSpaces>37563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Me</cp:lastModifiedBy>
  <cp:revision>3</cp:revision>
  <dcterms:created xsi:type="dcterms:W3CDTF">2012-05-07T14:15:00Z</dcterms:created>
  <dcterms:modified xsi:type="dcterms:W3CDTF">2023-05-07T06:01:00Z</dcterms:modified>
</cp:coreProperties>
</file>