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C2" w:rsidRDefault="00BA69ED">
      <w:pPr>
        <w:pStyle w:val="Titel"/>
        <w:rPr>
          <w:sz w:val="36"/>
          <w:szCs w:val="36"/>
        </w:rPr>
      </w:pPr>
      <w:bookmarkStart w:id="0" w:name="_m8p1gqhj5pn9" w:colFirst="0" w:colLast="0"/>
      <w:bookmarkStart w:id="1" w:name="_GoBack"/>
      <w:bookmarkEnd w:id="0"/>
      <w:bookmarkEnd w:id="1"/>
      <w:r>
        <w:t>LIVE-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proofErr w:type="gramStart"/>
      <w:r>
        <w:t>Bibelklasse</w:t>
      </w:r>
      <w:proofErr w:type="spellEnd"/>
      <w:r>
        <w:t xml:space="preserve"> .</w:t>
      </w:r>
      <w:proofErr w:type="gramEnd"/>
    </w:p>
    <w:p w:rsidR="00B103C2" w:rsidRDefault="00BA69ED">
      <w:proofErr w:type="spellStart"/>
      <w:proofErr w:type="gramStart"/>
      <w:r>
        <w:t>Bitte</w:t>
      </w:r>
      <w:proofErr w:type="spellEnd"/>
      <w:r>
        <w:t xml:space="preserve"> </w:t>
      </w:r>
      <w:proofErr w:type="spellStart"/>
      <w:r>
        <w:t>beachten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beantwortet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  <w:proofErr w:type="gramEnd"/>
    </w:p>
    <w:p w:rsidR="00B103C2" w:rsidRDefault="00BA69ED">
      <w:proofErr w:type="spellStart"/>
      <w:r>
        <w:t>Bitte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aktuellen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der </w:t>
      </w:r>
      <w:proofErr w:type="spellStart"/>
      <w:r>
        <w:t>Bibelklasse</w:t>
      </w:r>
      <w:proofErr w:type="spellEnd"/>
      <w:r>
        <w:t>!!</w:t>
      </w:r>
    </w:p>
    <w:p w:rsidR="00B103C2" w:rsidRDefault="00B103C2"/>
    <w:p w:rsidR="00B103C2" w:rsidRDefault="00B103C2"/>
    <w:p w:rsidR="00B103C2" w:rsidRDefault="00B103C2"/>
    <w:p w:rsidR="00B103C2" w:rsidRDefault="00B103C2"/>
    <w:tbl>
      <w:tblPr>
        <w:tblStyle w:val="a"/>
        <w:tblW w:w="98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595"/>
      </w:tblGrid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proofErr w:type="spellStart"/>
            <w:r>
              <w:t>Nummer</w:t>
            </w:r>
            <w:proofErr w:type="spellEnd"/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proofErr w:type="spellStart"/>
            <w:r>
              <w:t>Frage</w:t>
            </w:r>
            <w:proofErr w:type="spellEnd"/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</w:t>
            </w:r>
          </w:p>
          <w:p w:rsidR="00B103C2" w:rsidRDefault="00B103C2">
            <w:pPr>
              <w:widowControl w:val="0"/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before="240" w:after="240"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proofErr w:type="spellStart"/>
            <w:r>
              <w:t>Spricht</w:t>
            </w:r>
            <w:proofErr w:type="spellEnd"/>
            <w:r>
              <w:t xml:space="preserve"> in </w:t>
            </w:r>
            <w:proofErr w:type="spellStart"/>
            <w:r>
              <w:t>Offenbarung</w:t>
            </w:r>
            <w:proofErr w:type="spellEnd"/>
            <w:r>
              <w:t xml:space="preserve"> 21:7 </w:t>
            </w:r>
            <w:proofErr w:type="spellStart"/>
            <w:r>
              <w:t>jesus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der </w:t>
            </w:r>
            <w:proofErr w:type="spellStart"/>
            <w:r>
              <w:t>Vater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Himmel</w:t>
            </w:r>
            <w:proofErr w:type="spellEnd"/>
            <w:r>
              <w:t xml:space="preserve">? </w:t>
            </w:r>
          </w:p>
          <w:p w:rsidR="00B103C2" w:rsidRDefault="00BA69E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→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Antwort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: Der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Vater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, V.5 </w:t>
            </w: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3</w:t>
            </w:r>
          </w:p>
          <w:p w:rsidR="00B103C2" w:rsidRDefault="00B103C2">
            <w:pPr>
              <w:widowControl w:val="0"/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rPr>
          <w:trHeight w:val="348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4 </w:t>
            </w:r>
          </w:p>
          <w:p w:rsidR="00B103C2" w:rsidRDefault="00B103C2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before="240" w:after="24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[Mt 14</w:t>
            </w:r>
            <w:proofErr w:type="gramStart"/>
            <w:r>
              <w:rPr>
                <w:sz w:val="24"/>
                <w:szCs w:val="24"/>
                <w:highlight w:val="white"/>
              </w:rPr>
              <w:t>,2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] und </w:t>
            </w:r>
            <w:proofErr w:type="spellStart"/>
            <w:r>
              <w:rPr>
                <w:sz w:val="24"/>
                <w:szCs w:val="24"/>
                <w:highlight w:val="white"/>
              </w:rPr>
              <w:t>sprach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zu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seinen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Dienern</w:t>
            </w:r>
            <w:proofErr w:type="spellEnd"/>
            <w:r>
              <w:rPr>
                <w:sz w:val="24"/>
                <w:szCs w:val="24"/>
                <w:highlight w:val="white"/>
              </w:rPr>
              <w:t>: „</w:t>
            </w:r>
            <w:proofErr w:type="spellStart"/>
            <w:r>
              <w:rPr>
                <w:sz w:val="24"/>
                <w:szCs w:val="24"/>
                <w:highlight w:val="white"/>
              </w:rPr>
              <w:t>Dieser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Johannes der </w:t>
            </w:r>
            <w:proofErr w:type="spellStart"/>
            <w:r>
              <w:rPr>
                <w:sz w:val="24"/>
                <w:szCs w:val="24"/>
                <w:highlight w:val="white"/>
              </w:rPr>
              <w:t>Täufer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von den </w:t>
            </w:r>
            <w:proofErr w:type="spellStart"/>
            <w:r>
              <w:rPr>
                <w:sz w:val="24"/>
                <w:szCs w:val="24"/>
                <w:highlight w:val="white"/>
              </w:rPr>
              <w:t>Toten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auferstanden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und </w:t>
            </w:r>
            <w:proofErr w:type="spellStart"/>
            <w:r>
              <w:rPr>
                <w:sz w:val="24"/>
                <w:szCs w:val="24"/>
                <w:highlight w:val="white"/>
              </w:rPr>
              <w:t>darum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wirken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solche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Kräfte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in </w:t>
            </w:r>
            <w:proofErr w:type="spellStart"/>
            <w:r>
              <w:rPr>
                <w:sz w:val="24"/>
                <w:szCs w:val="24"/>
                <w:highlight w:val="white"/>
              </w:rPr>
              <w:t>ihm</w:t>
            </w:r>
            <w:proofErr w:type="spellEnd"/>
            <w:r>
              <w:rPr>
                <w:sz w:val="24"/>
                <w:szCs w:val="24"/>
                <w:highlight w:val="white"/>
              </w:rPr>
              <w:t>.“</w:t>
            </w:r>
          </w:p>
          <w:p w:rsidR="00B103C2" w:rsidRDefault="00BA69ED">
            <w:pPr>
              <w:widowControl w:val="0"/>
              <w:spacing w:before="240" w:after="24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[Mk 6</w:t>
            </w:r>
            <w:proofErr w:type="gramStart"/>
            <w:r>
              <w:rPr>
                <w:sz w:val="24"/>
                <w:szCs w:val="24"/>
                <w:highlight w:val="white"/>
              </w:rPr>
              <w:t>,15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-16] … </w:t>
            </w:r>
            <w:proofErr w:type="spellStart"/>
            <w:r>
              <w:rPr>
                <w:sz w:val="24"/>
                <w:szCs w:val="24"/>
                <w:highlight w:val="white"/>
              </w:rPr>
              <w:t>Andere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sagten</w:t>
            </w:r>
            <w:proofErr w:type="spellEnd"/>
            <w:r>
              <w:rPr>
                <w:sz w:val="24"/>
                <w:szCs w:val="24"/>
                <w:highlight w:val="white"/>
              </w:rPr>
              <w:t>: “</w:t>
            </w:r>
            <w:proofErr w:type="spellStart"/>
            <w:r>
              <w:rPr>
                <w:sz w:val="24"/>
                <w:szCs w:val="24"/>
                <w:highlight w:val="white"/>
              </w:rPr>
              <w:t>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Elia.” </w:t>
            </w:r>
            <w:proofErr w:type="spellStart"/>
            <w:r>
              <w:rPr>
                <w:sz w:val="24"/>
                <w:szCs w:val="24"/>
                <w:highlight w:val="white"/>
              </w:rPr>
              <w:t>Andere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sagten</w:t>
            </w:r>
            <w:proofErr w:type="spellEnd"/>
            <w:r>
              <w:rPr>
                <w:sz w:val="24"/>
                <w:szCs w:val="24"/>
                <w:highlight w:val="white"/>
              </w:rPr>
              <w:t>: “</w:t>
            </w:r>
            <w:proofErr w:type="spellStart"/>
            <w:r>
              <w:rPr>
                <w:sz w:val="24"/>
                <w:szCs w:val="24"/>
                <w:highlight w:val="white"/>
              </w:rPr>
              <w:t>Ein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Prophet </w:t>
            </w:r>
            <w:proofErr w:type="spellStart"/>
            <w:r>
              <w:rPr>
                <w:sz w:val="24"/>
                <w:szCs w:val="24"/>
                <w:highlight w:val="white"/>
              </w:rPr>
              <w:t>wie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sonst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einer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der </w:t>
            </w:r>
            <w:proofErr w:type="spellStart"/>
            <w:r>
              <w:rPr>
                <w:sz w:val="24"/>
                <w:szCs w:val="24"/>
                <w:highlight w:val="white"/>
              </w:rPr>
              <w:t>Propheten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.”) </w:t>
            </w:r>
            <w:proofErr w:type="spellStart"/>
            <w:r>
              <w:rPr>
                <w:sz w:val="24"/>
                <w:szCs w:val="24"/>
                <w:highlight w:val="white"/>
              </w:rPr>
              <w:t>Als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Herodes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hörte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sagte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: “Johannes, den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ich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enthauptet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habe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dieser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auferstanden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.” </w:t>
            </w:r>
          </w:p>
          <w:p w:rsidR="00B103C2" w:rsidRDefault="00BA69ED">
            <w:pPr>
              <w:widowControl w:val="0"/>
              <w:spacing w:before="240" w:after="240" w:line="24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Herodes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sprach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: “Johannes </w:t>
            </w:r>
            <w:proofErr w:type="spellStart"/>
            <w:r>
              <w:rPr>
                <w:sz w:val="24"/>
                <w:szCs w:val="24"/>
                <w:highlight w:val="white"/>
              </w:rPr>
              <w:t>habe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ich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enthauptet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sz w:val="24"/>
                <w:szCs w:val="24"/>
                <w:highlight w:val="white"/>
              </w:rPr>
              <w:t>wer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dieser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von </w:t>
            </w:r>
            <w:proofErr w:type="spellStart"/>
            <w:r>
              <w:rPr>
                <w:sz w:val="24"/>
                <w:szCs w:val="24"/>
                <w:highlight w:val="white"/>
              </w:rPr>
              <w:t>dem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ich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Derartiges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höre</w:t>
            </w:r>
            <w:proofErr w:type="spellEnd"/>
            <w:r>
              <w:rPr>
                <w:sz w:val="24"/>
                <w:szCs w:val="24"/>
                <w:highlight w:val="white"/>
              </w:rPr>
              <w:t>?”...</w:t>
            </w:r>
          </w:p>
          <w:p w:rsidR="00B103C2" w:rsidRDefault="00BA69ED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Was </w:t>
            </w:r>
            <w:proofErr w:type="spellStart"/>
            <w:r>
              <w:rPr>
                <w:sz w:val="24"/>
                <w:szCs w:val="24"/>
                <w:highlight w:val="white"/>
              </w:rPr>
              <w:t>j</w:t>
            </w:r>
            <w:r>
              <w:rPr>
                <w:sz w:val="24"/>
                <w:szCs w:val="24"/>
                <w:highlight w:val="white"/>
              </w:rPr>
              <w:t>etzt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? </w:t>
            </w:r>
            <w:proofErr w:type="spellStart"/>
            <w:r>
              <w:rPr>
                <w:sz w:val="24"/>
                <w:szCs w:val="24"/>
                <w:highlight w:val="white"/>
              </w:rPr>
              <w:t>Wer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denn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nun?</w:t>
            </w:r>
          </w:p>
          <w:p w:rsidR="00B103C2" w:rsidRDefault="00B103C2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B103C2" w:rsidRDefault="00BA69ED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Meine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Vermutung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als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Lösungsvorschlag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sz w:val="24"/>
                <w:szCs w:val="24"/>
                <w:highlight w:val="white"/>
              </w:rPr>
              <w:t>Zu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jener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Zeit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hörte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der „</w:t>
            </w:r>
            <w:proofErr w:type="spellStart"/>
            <w:r>
              <w:rPr>
                <w:sz w:val="24"/>
                <w:szCs w:val="24"/>
                <w:highlight w:val="white"/>
              </w:rPr>
              <w:t>König</w:t>
            </w:r>
            <w:proofErr w:type="spellEnd"/>
            <w:proofErr w:type="gramStart"/>
            <w:r>
              <w:rPr>
                <w:sz w:val="24"/>
                <w:szCs w:val="24"/>
                <w:highlight w:val="white"/>
              </w:rPr>
              <w:t xml:space="preserve">“ </w:t>
            </w:r>
            <w:proofErr w:type="spellStart"/>
            <w:r>
              <w:rPr>
                <w:sz w:val="24"/>
                <w:szCs w:val="24"/>
                <w:highlight w:val="white"/>
              </w:rPr>
              <w:t>Herodes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 xml:space="preserve">, der </w:t>
            </w:r>
            <w:proofErr w:type="spellStart"/>
            <w:r>
              <w:rPr>
                <w:sz w:val="24"/>
                <w:szCs w:val="24"/>
                <w:highlight w:val="white"/>
              </w:rPr>
              <w:t>Vierfürst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das </w:t>
            </w:r>
            <w:proofErr w:type="spellStart"/>
            <w:r>
              <w:rPr>
                <w:sz w:val="24"/>
                <w:szCs w:val="24"/>
                <w:highlight w:val="white"/>
              </w:rPr>
              <w:t>Gerücht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von Jesus, </w:t>
            </w:r>
            <w:proofErr w:type="spellStart"/>
            <w:r>
              <w:rPr>
                <w:sz w:val="24"/>
                <w:szCs w:val="24"/>
                <w:highlight w:val="white"/>
                <w:u w:val="single"/>
              </w:rPr>
              <w:t>alles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was </w:t>
            </w:r>
            <w:proofErr w:type="spellStart"/>
            <w:r>
              <w:rPr>
                <w:sz w:val="24"/>
                <w:szCs w:val="24"/>
                <w:highlight w:val="white"/>
              </w:rPr>
              <w:t>geschehen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war - </w:t>
            </w:r>
            <w:proofErr w:type="spellStart"/>
            <w:r>
              <w:rPr>
                <w:sz w:val="24"/>
                <w:szCs w:val="24"/>
                <w:highlight w:val="white"/>
              </w:rPr>
              <w:t>denn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sein Name </w:t>
            </w:r>
            <w:proofErr w:type="spellStart"/>
            <w:r>
              <w:rPr>
                <w:sz w:val="24"/>
                <w:szCs w:val="24"/>
                <w:highlight w:val="white"/>
              </w:rPr>
              <w:t>war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bekannt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geworden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- und </w:t>
            </w:r>
            <w:proofErr w:type="spellStart"/>
            <w:r>
              <w:rPr>
                <w:sz w:val="24"/>
                <w:szCs w:val="24"/>
                <w:highlight w:val="white"/>
              </w:rPr>
              <w:t>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war in </w:t>
            </w:r>
            <w:proofErr w:type="spellStart"/>
            <w:r>
              <w:rPr>
                <w:sz w:val="24"/>
                <w:szCs w:val="24"/>
                <w:highlight w:val="white"/>
              </w:rPr>
              <w:t>Verlegenheit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weil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von </w:t>
            </w:r>
            <w:proofErr w:type="spellStart"/>
            <w:r>
              <w:rPr>
                <w:sz w:val="24"/>
                <w:szCs w:val="24"/>
                <w:highlight w:val="white"/>
              </w:rPr>
              <w:t>einigen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gesagt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wu</w:t>
            </w:r>
            <w:r>
              <w:rPr>
                <w:sz w:val="24"/>
                <w:szCs w:val="24"/>
                <w:highlight w:val="white"/>
              </w:rPr>
              <w:t>rde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: „Johannes der </w:t>
            </w:r>
            <w:proofErr w:type="spellStart"/>
            <w:r>
              <w:rPr>
                <w:sz w:val="24"/>
                <w:szCs w:val="24"/>
                <w:highlight w:val="white"/>
              </w:rPr>
              <w:t>Täufer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Toten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auferweckt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worden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und </w:t>
            </w:r>
            <w:proofErr w:type="spellStart"/>
            <w:r>
              <w:rPr>
                <w:sz w:val="24"/>
                <w:szCs w:val="24"/>
                <w:highlight w:val="white"/>
              </w:rPr>
              <w:t>deswegen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wirken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die </w:t>
            </w:r>
            <w:proofErr w:type="spellStart"/>
            <w:r>
              <w:rPr>
                <w:sz w:val="24"/>
                <w:szCs w:val="24"/>
                <w:highlight w:val="white"/>
              </w:rPr>
              <w:t>Kräfte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in </w:t>
            </w:r>
            <w:proofErr w:type="spellStart"/>
            <w:r>
              <w:rPr>
                <w:sz w:val="24"/>
                <w:szCs w:val="24"/>
                <w:highlight w:val="white"/>
              </w:rPr>
              <w:t>ihm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.“, von </w:t>
            </w:r>
            <w:proofErr w:type="spellStart"/>
            <w:r>
              <w:rPr>
                <w:sz w:val="24"/>
                <w:szCs w:val="24"/>
                <w:highlight w:val="white"/>
              </w:rPr>
              <w:t>anderen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daß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einer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der </w:t>
            </w:r>
            <w:proofErr w:type="spellStart"/>
            <w:r>
              <w:rPr>
                <w:sz w:val="24"/>
                <w:szCs w:val="24"/>
                <w:highlight w:val="white"/>
              </w:rPr>
              <w:t>alten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Propheten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auferstanden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sei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</w:rPr>
              <w:t>Andere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sagten</w:t>
            </w:r>
            <w:proofErr w:type="spellEnd"/>
            <w:r>
              <w:rPr>
                <w:sz w:val="24"/>
                <w:szCs w:val="24"/>
                <w:highlight w:val="white"/>
              </w:rPr>
              <w:t>: „</w:t>
            </w:r>
            <w:proofErr w:type="spellStart"/>
            <w:r>
              <w:rPr>
                <w:sz w:val="24"/>
                <w:szCs w:val="24"/>
                <w:highlight w:val="white"/>
              </w:rPr>
              <w:t>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Elia </w:t>
            </w:r>
            <w:proofErr w:type="spellStart"/>
            <w:r>
              <w:rPr>
                <w:sz w:val="24"/>
                <w:szCs w:val="24"/>
                <w:highlight w:val="white"/>
              </w:rPr>
              <w:t>erschienen</w:t>
            </w:r>
            <w:proofErr w:type="spellEnd"/>
            <w:proofErr w:type="gramStart"/>
            <w:r>
              <w:rPr>
                <w:sz w:val="24"/>
                <w:szCs w:val="24"/>
                <w:highlight w:val="white"/>
              </w:rPr>
              <w:t>.“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; Mal 3,23 </w:t>
            </w:r>
            <w:proofErr w:type="spellStart"/>
            <w:r>
              <w:rPr>
                <w:sz w:val="24"/>
                <w:szCs w:val="24"/>
                <w:highlight w:val="white"/>
              </w:rPr>
              <w:t>andere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sagten</w:t>
            </w:r>
            <w:proofErr w:type="spellEnd"/>
            <w:r>
              <w:rPr>
                <w:sz w:val="24"/>
                <w:szCs w:val="24"/>
                <w:highlight w:val="white"/>
              </w:rPr>
              <w:t>: „</w:t>
            </w:r>
            <w:proofErr w:type="spellStart"/>
            <w:r>
              <w:rPr>
                <w:sz w:val="24"/>
                <w:szCs w:val="24"/>
                <w:highlight w:val="white"/>
              </w:rPr>
              <w:t>Ein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Prophet </w:t>
            </w:r>
            <w:proofErr w:type="spellStart"/>
            <w:r>
              <w:rPr>
                <w:sz w:val="24"/>
                <w:szCs w:val="24"/>
                <w:highlight w:val="white"/>
              </w:rPr>
              <w:t>w</w:t>
            </w:r>
            <w:r>
              <w:rPr>
                <w:sz w:val="24"/>
                <w:szCs w:val="24"/>
                <w:highlight w:val="white"/>
              </w:rPr>
              <w:t>ie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einer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der </w:t>
            </w:r>
            <w:proofErr w:type="spellStart"/>
            <w:r>
              <w:rPr>
                <w:sz w:val="24"/>
                <w:szCs w:val="24"/>
                <w:highlight w:val="white"/>
              </w:rPr>
              <w:t>Propheten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.“ </w:t>
            </w:r>
            <w:proofErr w:type="spellStart"/>
            <w:r>
              <w:rPr>
                <w:sz w:val="24"/>
                <w:szCs w:val="24"/>
                <w:highlight w:val="white"/>
              </w:rPr>
              <w:t>Als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Herodes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hörte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sagte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zu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seinen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Dienern</w:t>
            </w:r>
            <w:proofErr w:type="spellEnd"/>
            <w:r>
              <w:rPr>
                <w:sz w:val="24"/>
                <w:szCs w:val="24"/>
                <w:highlight w:val="white"/>
              </w:rPr>
              <w:t>: „</w:t>
            </w:r>
            <w:proofErr w:type="spellStart"/>
            <w:r>
              <w:rPr>
                <w:sz w:val="24"/>
                <w:szCs w:val="24"/>
                <w:highlight w:val="white"/>
              </w:rPr>
              <w:t>Dieser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[also] Johannes der </w:t>
            </w:r>
            <w:proofErr w:type="spellStart"/>
            <w:r>
              <w:rPr>
                <w:sz w:val="24"/>
                <w:szCs w:val="24"/>
                <w:highlight w:val="white"/>
              </w:rPr>
              <w:t>Täufer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sz w:val="24"/>
                <w:szCs w:val="24"/>
                <w:highlight w:val="white"/>
              </w:rPr>
              <w:t>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von den </w:t>
            </w:r>
            <w:proofErr w:type="spellStart"/>
            <w:r>
              <w:rPr>
                <w:sz w:val="24"/>
                <w:szCs w:val="24"/>
                <w:highlight w:val="white"/>
              </w:rPr>
              <w:t>Toten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auferweckt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worden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und </w:t>
            </w:r>
            <w:proofErr w:type="spellStart"/>
            <w:r>
              <w:rPr>
                <w:sz w:val="24"/>
                <w:szCs w:val="24"/>
                <w:highlight w:val="white"/>
              </w:rPr>
              <w:t>darum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wirken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solche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Wunderkräfte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in </w:t>
            </w:r>
            <w:proofErr w:type="spellStart"/>
            <w:r>
              <w:rPr>
                <w:sz w:val="24"/>
                <w:szCs w:val="24"/>
                <w:highlight w:val="white"/>
              </w:rPr>
              <w:t>ihm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Johannes </w:t>
            </w:r>
            <w:proofErr w:type="spellStart"/>
            <w:r>
              <w:rPr>
                <w:sz w:val="24"/>
                <w:szCs w:val="24"/>
                <w:highlight w:val="white"/>
              </w:rPr>
              <w:t>habe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ich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enthauptet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</w:rPr>
              <w:t>Wer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aber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ist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dieser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r>
              <w:rPr>
                <w:sz w:val="24"/>
                <w:szCs w:val="24"/>
                <w:highlight w:val="white"/>
              </w:rPr>
              <w:t xml:space="preserve">von </w:t>
            </w:r>
            <w:proofErr w:type="spellStart"/>
            <w:r>
              <w:rPr>
                <w:sz w:val="24"/>
                <w:szCs w:val="24"/>
                <w:highlight w:val="white"/>
              </w:rPr>
              <w:t>dem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ich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solches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höre</w:t>
            </w:r>
            <w:proofErr w:type="spellEnd"/>
            <w:proofErr w:type="gramStart"/>
            <w:r>
              <w:rPr>
                <w:sz w:val="24"/>
                <w:szCs w:val="24"/>
                <w:highlight w:val="white"/>
              </w:rPr>
              <w:t>?“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Und </w:t>
            </w:r>
            <w:proofErr w:type="spellStart"/>
            <w:r>
              <w:rPr>
                <w:sz w:val="24"/>
                <w:szCs w:val="24"/>
                <w:highlight w:val="white"/>
              </w:rPr>
              <w:t>er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suchte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ihn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zu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sehen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A69ED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 xml:space="preserve">War Nathanael </w:t>
            </w:r>
            <w:proofErr w:type="spellStart"/>
            <w:r>
              <w:t>auch</w:t>
            </w:r>
            <w:proofErr w:type="spellEnd"/>
            <w:r>
              <w:t xml:space="preserve"> in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schwierigen</w:t>
            </w:r>
            <w:proofErr w:type="spellEnd"/>
            <w:r>
              <w:t xml:space="preserve"> </w:t>
            </w:r>
            <w:proofErr w:type="spellStart"/>
            <w:r>
              <w:t>Lebenssituation</w:t>
            </w:r>
            <w:proofErr w:type="spellEnd"/>
            <w:r>
              <w:t xml:space="preserve">,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Feigenbaum</w:t>
            </w:r>
            <w:proofErr w:type="spellEnd"/>
            <w:r>
              <w:t xml:space="preserve"> war, und Jesus </w:t>
            </w:r>
            <w:proofErr w:type="spellStart"/>
            <w:r>
              <w:t>ihn</w:t>
            </w:r>
            <w:proofErr w:type="spellEnd"/>
            <w:r>
              <w:t xml:space="preserve"> </w:t>
            </w:r>
            <w:proofErr w:type="spellStart"/>
            <w:r>
              <w:t>sah</w:t>
            </w:r>
            <w:proofErr w:type="spellEnd"/>
            <w:r>
              <w:t>?</w:t>
            </w: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A69ED">
            <w:pPr>
              <w:widowControl w:val="0"/>
              <w:spacing w:line="240" w:lineRule="auto"/>
            </w:pP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bedeutet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seine </w:t>
            </w:r>
            <w:proofErr w:type="spellStart"/>
            <w:r>
              <w:t>Liegematte</w:t>
            </w:r>
            <w:proofErr w:type="spellEnd"/>
            <w:r>
              <w:t xml:space="preserve"> </w:t>
            </w:r>
            <w:proofErr w:type="spellStart"/>
            <w:r>
              <w:t>aufzunehmen</w:t>
            </w:r>
            <w:proofErr w:type="spellEnd"/>
            <w:r>
              <w:t xml:space="preserve"> und </w:t>
            </w:r>
            <w:proofErr w:type="spellStart"/>
            <w:r>
              <w:t>umherzugehen</w:t>
            </w:r>
            <w:proofErr w:type="spellEnd"/>
            <w:r>
              <w:t>?</w:t>
            </w: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lastRenderedPageBreak/>
              <w:t xml:space="preserve">6 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Taufe</w:t>
            </w:r>
            <w:proofErr w:type="spellEnd"/>
            <w:r>
              <w:t xml:space="preserve"> des </w:t>
            </w:r>
            <w:proofErr w:type="spellStart"/>
            <w:r>
              <w:t>neugeborenen</w:t>
            </w:r>
            <w:proofErr w:type="spellEnd"/>
            <w:r>
              <w:t xml:space="preserve"> </w:t>
            </w:r>
            <w:proofErr w:type="spellStart"/>
            <w:r>
              <w:t>Christen</w:t>
            </w:r>
            <w:proofErr w:type="gramStart"/>
            <w:r>
              <w:t>,ist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Wasser,aber</w:t>
            </w:r>
            <w:proofErr w:type="spellEnd"/>
            <w:r>
              <w:t xml:space="preserve"> </w:t>
            </w:r>
            <w:proofErr w:type="spellStart"/>
            <w:r>
              <w:t>auch-Feuertaufe,nicht</w:t>
            </w:r>
            <w:proofErr w:type="spellEnd"/>
            <w:r>
              <w:t xml:space="preserve"> </w:t>
            </w:r>
            <w:proofErr w:type="spellStart"/>
            <w:r>
              <w:t>wahr?ich</w:t>
            </w:r>
            <w:proofErr w:type="spellEnd"/>
            <w:r>
              <w:t xml:space="preserve"> </w:t>
            </w:r>
            <w:proofErr w:type="spellStart"/>
            <w:r>
              <w:t>möchte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nämlich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taufen</w:t>
            </w:r>
            <w:proofErr w:type="spellEnd"/>
            <w:r>
              <w:t xml:space="preserve"> </w:t>
            </w:r>
            <w:proofErr w:type="spellStart"/>
            <w:r>
              <w:t>lassen</w:t>
            </w:r>
            <w:proofErr w:type="spellEnd"/>
            <w:r>
              <w:t>.</w:t>
            </w: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A69ED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Guten</w:t>
            </w:r>
            <w:proofErr w:type="spellEnd"/>
            <w:r>
              <w:rPr>
                <w:b/>
              </w:rPr>
              <w:t xml:space="preserve"> Tag - </w:t>
            </w:r>
            <w:proofErr w:type="spellStart"/>
            <w:r>
              <w:rPr>
                <w:b/>
              </w:rPr>
              <w:t>Wir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empfehlen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herzlich</w:t>
            </w:r>
            <w:proofErr w:type="spellEnd"/>
            <w:r>
              <w:rPr>
                <w:b/>
              </w:rPr>
              <w:t xml:space="preserve"> Rogers </w:t>
            </w:r>
            <w:proofErr w:type="spellStart"/>
            <w:r>
              <w:rPr>
                <w:b/>
              </w:rPr>
              <w:t>Vortrag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Taufe</w:t>
            </w:r>
            <w:proofErr w:type="spellEnd"/>
            <w:r>
              <w:rPr>
                <w:b/>
              </w:rPr>
              <w:t>:</w:t>
            </w:r>
          </w:p>
          <w:p w:rsidR="00B103C2" w:rsidRDefault="00BA69ED">
            <w:pPr>
              <w:widowControl w:val="0"/>
              <w:spacing w:line="240" w:lineRule="auto"/>
            </w:pPr>
            <w:r>
              <w:rPr>
                <w:b/>
              </w:rPr>
              <w:t>---&gt;</w:t>
            </w:r>
            <w:r>
              <w:t xml:space="preserve"> </w:t>
            </w:r>
            <w:hyperlink r:id="rId5">
              <w:r>
                <w:rPr>
                  <w:color w:val="1155CC"/>
                  <w:u w:val="single"/>
                </w:rPr>
                <w:t>https://www.youtube.com/watch?v=u-UkO3xBjxo&amp;feature=youtu.be</w:t>
              </w:r>
            </w:hyperlink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7</w:t>
            </w:r>
          </w:p>
          <w:p w:rsidR="00B103C2" w:rsidRDefault="00B103C2">
            <w:pPr>
              <w:widowControl w:val="0"/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 xml:space="preserve">Man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aber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ableiten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die </w:t>
            </w:r>
            <w:proofErr w:type="spellStart"/>
            <w:r>
              <w:t>Terebinthe</w:t>
            </w:r>
            <w:proofErr w:type="spellEnd"/>
            <w:r>
              <w:t xml:space="preserve"> der </w:t>
            </w:r>
            <w:proofErr w:type="spellStart"/>
            <w:r>
              <w:t>Gerechtigkeit</w:t>
            </w:r>
            <w:proofErr w:type="spellEnd"/>
            <w:r>
              <w:t xml:space="preserve"> in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Aktivität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Gewaltsamkeit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Wort </w:t>
            </w:r>
            <w:proofErr w:type="spellStart"/>
            <w:r>
              <w:t>folgt</w:t>
            </w:r>
            <w:proofErr w:type="spellEnd"/>
            <w:r>
              <w:t xml:space="preserve">, </w:t>
            </w:r>
            <w:proofErr w:type="spellStart"/>
            <w:r>
              <w:t>obwohl</w:t>
            </w:r>
            <w:proofErr w:type="spellEnd"/>
            <w:r>
              <w:t xml:space="preserve"> man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Bogen</w:t>
            </w:r>
            <w:proofErr w:type="spellEnd"/>
            <w:r>
              <w:t xml:space="preserve"> in dieses Land von </w:t>
            </w:r>
            <w:proofErr w:type="spellStart"/>
            <w:r>
              <w:t>Dornen</w:t>
            </w:r>
            <w:proofErr w:type="spellEnd"/>
            <w:r>
              <w:t xml:space="preserve"> und </w:t>
            </w:r>
            <w:proofErr w:type="spellStart"/>
            <w:r>
              <w:t>Disteln</w:t>
            </w:r>
            <w:proofErr w:type="spellEnd"/>
            <w:r>
              <w:t xml:space="preserve"> </w:t>
            </w:r>
            <w:proofErr w:type="spellStart"/>
            <w:r>
              <w:t>reitet</w:t>
            </w:r>
            <w:proofErr w:type="spellEnd"/>
            <w:r>
              <w:t xml:space="preserve"> und der </w:t>
            </w:r>
            <w:proofErr w:type="spellStart"/>
            <w:r>
              <w:t>erste</w:t>
            </w:r>
            <w:proofErr w:type="spellEnd"/>
            <w:r>
              <w:t xml:space="preserve"> </w:t>
            </w:r>
            <w:proofErr w:type="spellStart"/>
            <w:r>
              <w:t>apokalyptische</w:t>
            </w:r>
            <w:proofErr w:type="spellEnd"/>
            <w:r>
              <w:t xml:space="preserve"> </w:t>
            </w:r>
            <w:proofErr w:type="spellStart"/>
            <w:r>
              <w:t>Vollstrecker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Bogen</w:t>
            </w:r>
            <w:proofErr w:type="spellEnd"/>
            <w:r>
              <w:t xml:space="preserve"> </w:t>
            </w:r>
            <w:proofErr w:type="spellStart"/>
            <w:r>
              <w:t>ausge</w:t>
            </w:r>
            <w:r>
              <w:t>stattet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>?</w:t>
            </w: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A69ED">
            <w:pPr>
              <w:widowControl w:val="0"/>
              <w:spacing w:line="240" w:lineRule="auto"/>
            </w:pPr>
            <w:r>
              <w:t xml:space="preserve">Sind </w:t>
            </w:r>
            <w:proofErr w:type="spellStart"/>
            <w:r>
              <w:t>mit</w:t>
            </w:r>
            <w:proofErr w:type="spellEnd"/>
            <w:r>
              <w:t xml:space="preserve"> “</w:t>
            </w:r>
            <w:proofErr w:type="spellStart"/>
            <w:r>
              <w:t>wer</w:t>
            </w:r>
            <w:proofErr w:type="spellEnd"/>
            <w:r>
              <w:t xml:space="preserve"> </w:t>
            </w:r>
            <w:proofErr w:type="spellStart"/>
            <w:r>
              <w:t>Ohren</w:t>
            </w:r>
            <w:proofErr w:type="spellEnd"/>
            <w:r>
              <w:t xml:space="preserve"> hat”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gemeint</w:t>
            </w:r>
            <w:proofErr w:type="spellEnd"/>
            <w:r>
              <w:t xml:space="preserve">,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kundige</w:t>
            </w:r>
            <w:proofErr w:type="spellEnd"/>
            <w:r>
              <w:t xml:space="preserve"> </w:t>
            </w:r>
            <w:proofErr w:type="spellStart"/>
            <w:r>
              <w:t>Ohren</w:t>
            </w:r>
            <w:proofErr w:type="spellEnd"/>
            <w:r>
              <w:t xml:space="preserve">? </w:t>
            </w:r>
            <w:proofErr w:type="spellStart"/>
            <w:r>
              <w:t>Bzw</w:t>
            </w:r>
            <w:proofErr w:type="spellEnd"/>
            <w:r>
              <w:t xml:space="preserve">. Das </w:t>
            </w:r>
            <w:proofErr w:type="spellStart"/>
            <w:r>
              <w:t>hören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vernehmen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Erkennen</w:t>
            </w:r>
            <w:proofErr w:type="spellEnd"/>
            <w:r>
              <w:t>?</w:t>
            </w: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A69ED">
            <w:pPr>
              <w:widowControl w:val="0"/>
              <w:spacing w:line="240" w:lineRule="auto"/>
            </w:pPr>
            <w:proofErr w:type="spellStart"/>
            <w:r>
              <w:t>Vielen</w:t>
            </w:r>
            <w:proofErr w:type="spellEnd"/>
            <w:r>
              <w:t xml:space="preserve"> Dank und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wünsche</w:t>
            </w:r>
            <w:proofErr w:type="spellEnd"/>
            <w:r>
              <w:t xml:space="preserve"> </w:t>
            </w:r>
            <w:proofErr w:type="spellStart"/>
            <w:r>
              <w:t>allen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wohlgefälligen</w:t>
            </w:r>
            <w:proofErr w:type="spellEnd"/>
            <w:r>
              <w:t xml:space="preserve"> Sonntag </w:t>
            </w:r>
            <w:proofErr w:type="spellStart"/>
            <w:r>
              <w:t>Nachmittag</w:t>
            </w:r>
            <w:proofErr w:type="spellEnd"/>
            <w:r>
              <w:t xml:space="preserve"> :-)</w:t>
            </w: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9</w:t>
            </w:r>
          </w:p>
          <w:p w:rsidR="00B103C2" w:rsidRDefault="00B103C2">
            <w:pPr>
              <w:widowControl w:val="0"/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A69ED">
            <w:pPr>
              <w:widowControl w:val="0"/>
              <w:spacing w:line="240" w:lineRule="auto"/>
            </w:pPr>
            <w:r>
              <w:t xml:space="preserve">Der </w:t>
            </w:r>
            <w:proofErr w:type="spellStart"/>
            <w:r>
              <w:t>Gesandte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eher</w:t>
            </w:r>
            <w:proofErr w:type="spellEnd"/>
            <w:r>
              <w:t xml:space="preserve"> </w:t>
            </w:r>
            <w:proofErr w:type="spellStart"/>
            <w:r>
              <w:t>Vertreter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Prokurist</w:t>
            </w:r>
            <w:proofErr w:type="spellEnd"/>
            <w:r>
              <w:t xml:space="preserve">? Oder </w:t>
            </w:r>
            <w:proofErr w:type="spellStart"/>
            <w:r>
              <w:t>Gefäß</w:t>
            </w:r>
            <w:proofErr w:type="spellEnd"/>
            <w:r>
              <w:t>?</w:t>
            </w: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 xml:space="preserve">Der Panzer der </w:t>
            </w:r>
            <w:proofErr w:type="spellStart"/>
            <w:r>
              <w:t>Gerechtigkeit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beim</w:t>
            </w:r>
            <w:proofErr w:type="spellEnd"/>
            <w:r>
              <w:t xml:space="preserve"> </w:t>
            </w:r>
            <w:proofErr w:type="spellStart"/>
            <w:r>
              <w:t>Ringen</w:t>
            </w:r>
            <w:proofErr w:type="spellEnd"/>
            <w:r>
              <w:t xml:space="preserve"> um den </w:t>
            </w:r>
            <w:proofErr w:type="spellStart"/>
            <w:r>
              <w:t>Eingang</w:t>
            </w:r>
            <w:proofErr w:type="spellEnd"/>
            <w:r>
              <w:t xml:space="preserve"> in die </w:t>
            </w:r>
            <w:proofErr w:type="spellStart"/>
            <w:r>
              <w:t>schwierige</w:t>
            </w:r>
            <w:proofErr w:type="spellEnd"/>
            <w:r>
              <w:t xml:space="preserve"> </w:t>
            </w:r>
            <w:proofErr w:type="spellStart"/>
            <w:r>
              <w:t>Pforte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Hilfsmittel</w:t>
            </w:r>
            <w:proofErr w:type="spellEnd"/>
            <w:r>
              <w:t xml:space="preserve"> </w:t>
            </w:r>
            <w:proofErr w:type="spellStart"/>
            <w:r>
              <w:t>gegen</w:t>
            </w:r>
            <w:proofErr w:type="spellEnd"/>
            <w:r>
              <w:t xml:space="preserve"> die </w:t>
            </w:r>
            <w:proofErr w:type="spellStart"/>
            <w:r>
              <w:t>Versuchung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tun</w:t>
            </w:r>
            <w:proofErr w:type="spellEnd"/>
            <w:r>
              <w:t>?</w:t>
            </w: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11</w:t>
            </w:r>
          </w:p>
          <w:p w:rsidR="00B103C2" w:rsidRDefault="00B103C2">
            <w:pPr>
              <w:widowControl w:val="0"/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12</w:t>
            </w:r>
          </w:p>
          <w:p w:rsidR="00B103C2" w:rsidRDefault="00B103C2">
            <w:pPr>
              <w:widowControl w:val="0"/>
              <w:spacing w:line="240" w:lineRule="auto"/>
              <w:rPr>
                <w:highlight w:val="white"/>
              </w:rPr>
            </w:pPr>
          </w:p>
          <w:p w:rsidR="00B103C2" w:rsidRDefault="00B103C2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  <w:rPr>
                <w:highlight w:val="black"/>
              </w:rPr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15</w:t>
            </w:r>
          </w:p>
          <w:p w:rsidR="00B103C2" w:rsidRDefault="00B103C2">
            <w:pPr>
              <w:widowControl w:val="0"/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17</w:t>
            </w:r>
          </w:p>
          <w:p w:rsidR="00B103C2" w:rsidRDefault="00B103C2">
            <w:pPr>
              <w:widowControl w:val="0"/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lastRenderedPageBreak/>
              <w:t>20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  <w:rPr>
                <w:b/>
              </w:rPr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  <w:tr w:rsidR="00B103C2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A69ED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C2" w:rsidRDefault="00B103C2">
            <w:pPr>
              <w:widowControl w:val="0"/>
              <w:spacing w:line="240" w:lineRule="auto"/>
            </w:pPr>
          </w:p>
          <w:p w:rsidR="00B103C2" w:rsidRDefault="00B103C2">
            <w:pPr>
              <w:widowControl w:val="0"/>
              <w:spacing w:line="240" w:lineRule="auto"/>
            </w:pPr>
          </w:p>
        </w:tc>
      </w:tr>
    </w:tbl>
    <w:p w:rsidR="00B103C2" w:rsidRDefault="00B103C2"/>
    <w:p w:rsidR="00B103C2" w:rsidRDefault="00B103C2"/>
    <w:sectPr w:rsidR="00B103C2">
      <w:pgSz w:w="12240" w:h="15840"/>
      <w:pgMar w:top="141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03C2"/>
    <w:rsid w:val="00B103C2"/>
    <w:rsid w:val="00B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UkO3xBjx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Matthäusevangelium - Teil 25 - ab Matthäus 11, 1</vt:lpstr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Matthäusevangelium - Teil 25 - ab Matthäus 11, 1</dc:title>
  <dc:creator>Roger Liebi</dc:creator>
  <cp:lastModifiedBy>Me</cp:lastModifiedBy>
  <cp:revision>2</cp:revision>
  <dcterms:created xsi:type="dcterms:W3CDTF">2020-06-15T11:32:00Z</dcterms:created>
  <dcterms:modified xsi:type="dcterms:W3CDTF">2020-06-15T11:32:00Z</dcterms:modified>
</cp:coreProperties>
</file>